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494C85" w:rsidRDefault="006F764F">
      <w:pPr>
        <w:pStyle w:val="Title"/>
        <w:rPr>
          <w:sz w:val="24"/>
        </w:rPr>
      </w:pPr>
      <w:r>
        <w:rPr>
          <w:rFonts w:ascii="Arial" w:hAnsi="Arial" w:cs="Arial"/>
        </w:rPr>
        <w:t xml:space="preserve"> </w:t>
      </w:r>
      <w:r w:rsidR="00A228E2" w:rsidRPr="00494C85">
        <w:rPr>
          <w:sz w:val="24"/>
        </w:rPr>
        <w:t xml:space="preserve">Annual </w:t>
      </w:r>
      <w:r w:rsidR="0072404F" w:rsidRPr="00494C85">
        <w:rPr>
          <w:sz w:val="24"/>
        </w:rPr>
        <w:t>Chapter Report</w:t>
      </w:r>
      <w:r w:rsidR="001B6D50">
        <w:rPr>
          <w:sz w:val="24"/>
        </w:rPr>
        <w:t>: 2015-</w:t>
      </w:r>
      <w:r w:rsidR="00222D73" w:rsidRPr="00494C85">
        <w:rPr>
          <w:sz w:val="24"/>
        </w:rPr>
        <w:t>2016</w:t>
      </w:r>
    </w:p>
    <w:p w:rsidR="0072404F" w:rsidRPr="00494C85" w:rsidRDefault="0072404F">
      <w:pPr>
        <w:jc w:val="center"/>
      </w:pPr>
    </w:p>
    <w:p w:rsidR="0072404F" w:rsidRPr="00494C85" w:rsidRDefault="0072404F">
      <w:pPr>
        <w:pStyle w:val="Subtitle"/>
        <w:rPr>
          <w:b w:val="0"/>
          <w:bCs w:val="0"/>
          <w:sz w:val="24"/>
        </w:rPr>
      </w:pPr>
      <w:r w:rsidRPr="00494C85">
        <w:rPr>
          <w:b w:val="0"/>
          <w:bCs w:val="0"/>
          <w:sz w:val="24"/>
        </w:rPr>
        <w:t>Please complete your Annual Chapter Report</w:t>
      </w:r>
      <w:r w:rsidR="002E7D43" w:rsidRPr="00494C85">
        <w:rPr>
          <w:b w:val="0"/>
          <w:bCs w:val="0"/>
          <w:sz w:val="24"/>
        </w:rPr>
        <w:t>,</w:t>
      </w:r>
      <w:r w:rsidRPr="00494C85">
        <w:rPr>
          <w:b w:val="0"/>
          <w:bCs w:val="0"/>
          <w:sz w:val="24"/>
        </w:rPr>
        <w:t xml:space="preserve"> </w:t>
      </w:r>
      <w:r w:rsidR="002E7D43" w:rsidRPr="00494C85">
        <w:rPr>
          <w:b w:val="0"/>
          <w:bCs w:val="0"/>
          <w:sz w:val="24"/>
        </w:rPr>
        <w:t xml:space="preserve">adhering strictly to the format below, </w:t>
      </w:r>
      <w:r w:rsidRPr="00494C85">
        <w:rPr>
          <w:b w:val="0"/>
          <w:bCs w:val="0"/>
          <w:sz w:val="24"/>
        </w:rPr>
        <w:t>and submit</w:t>
      </w:r>
      <w:r w:rsidR="002E7D43" w:rsidRPr="00494C85">
        <w:rPr>
          <w:b w:val="0"/>
          <w:bCs w:val="0"/>
          <w:sz w:val="24"/>
        </w:rPr>
        <w:t xml:space="preserve"> it</w:t>
      </w:r>
      <w:r w:rsidRPr="00494C85">
        <w:rPr>
          <w:b w:val="0"/>
          <w:bCs w:val="0"/>
          <w:sz w:val="24"/>
        </w:rPr>
        <w:t xml:space="preserve"> to the National Office via e-mail (</w:t>
      </w:r>
      <w:r w:rsidR="007A1B15" w:rsidRPr="00494C85">
        <w:rPr>
          <w:b w:val="0"/>
          <w:bCs w:val="0"/>
          <w:sz w:val="24"/>
        </w:rPr>
        <w:t>RhoC</w:t>
      </w:r>
      <w:r w:rsidRPr="00494C85">
        <w:rPr>
          <w:b w:val="0"/>
          <w:bCs w:val="0"/>
          <w:sz w:val="24"/>
        </w:rPr>
        <w:t>hi@unc.edu) by May 15</w:t>
      </w:r>
      <w:r w:rsidR="002F3714" w:rsidRPr="00494C85">
        <w:rPr>
          <w:b w:val="0"/>
          <w:bCs w:val="0"/>
          <w:sz w:val="24"/>
        </w:rPr>
        <w:t>.</w:t>
      </w:r>
    </w:p>
    <w:p w:rsidR="0072404F" w:rsidRPr="00494C85" w:rsidRDefault="0072404F">
      <w:pPr>
        <w:pStyle w:val="Subtitle"/>
        <w:rPr>
          <w:b w:val="0"/>
          <w:bCs w:val="0"/>
          <w:sz w:val="24"/>
        </w:rPr>
      </w:pPr>
    </w:p>
    <w:p w:rsidR="0072404F" w:rsidRPr="00494C85" w:rsidRDefault="0072404F">
      <w:pPr>
        <w:pStyle w:val="Subtitle"/>
        <w:rPr>
          <w:b w:val="0"/>
          <w:bCs w:val="0"/>
          <w:sz w:val="24"/>
        </w:rPr>
      </w:pPr>
      <w:r w:rsidRPr="00975343">
        <w:rPr>
          <w:b w:val="0"/>
          <w:bCs w:val="0"/>
          <w:sz w:val="24"/>
        </w:rPr>
        <w:t xml:space="preserve">Date of report submission: </w:t>
      </w:r>
      <w:r w:rsidR="00975343" w:rsidRPr="00975343">
        <w:rPr>
          <w:b w:val="0"/>
          <w:bCs w:val="0"/>
          <w:sz w:val="24"/>
        </w:rPr>
        <w:t>4/</w:t>
      </w:r>
      <w:r w:rsidR="00975343">
        <w:rPr>
          <w:b w:val="0"/>
          <w:bCs w:val="0"/>
          <w:sz w:val="24"/>
        </w:rPr>
        <w:t>21/2016</w:t>
      </w:r>
    </w:p>
    <w:p w:rsidR="0072404F" w:rsidRPr="00494C85" w:rsidRDefault="0072404F">
      <w:r w:rsidRPr="00494C85">
        <w:t>Name of School/College:</w:t>
      </w:r>
      <w:r w:rsidR="00003F0F" w:rsidRPr="00494C85">
        <w:t xml:space="preserve"> University of Michigan College of Pharmacy</w:t>
      </w:r>
    </w:p>
    <w:p w:rsidR="0072404F" w:rsidRPr="00494C85" w:rsidRDefault="00C7617B">
      <w:r w:rsidRPr="00494C85">
        <w:t>Chapter name and r</w:t>
      </w:r>
      <w:r w:rsidR="0072404F" w:rsidRPr="00494C85">
        <w:t>egion:</w:t>
      </w:r>
      <w:r w:rsidR="00003F0F" w:rsidRPr="00494C85">
        <w:t xml:space="preserve"> Alpha Chapter, Region IV</w:t>
      </w:r>
      <w:r w:rsidR="002E39E3">
        <w:t>-E</w:t>
      </w:r>
      <w:bookmarkStart w:id="0" w:name="_GoBack"/>
      <w:bookmarkEnd w:id="0"/>
    </w:p>
    <w:p w:rsidR="00ED64D7" w:rsidRPr="00494C85" w:rsidRDefault="00DC6700" w:rsidP="00DC6700">
      <w:r w:rsidRPr="00494C85">
        <w:t>Chapter advisor’s name and e-mail address:</w:t>
      </w:r>
      <w:r w:rsidR="00003F0F" w:rsidRPr="00494C85">
        <w:t xml:space="preserve"> Karen B. Farris, PhD; kfarris@umich.edu</w:t>
      </w:r>
    </w:p>
    <w:p w:rsidR="00DC6700" w:rsidRPr="00494C85" w:rsidRDefault="00DC6700" w:rsidP="00DC6700">
      <w:pPr>
        <w:ind w:left="1260" w:hanging="540"/>
        <w:rPr>
          <w:b/>
          <w:bCs/>
        </w:rPr>
      </w:pPr>
    </w:p>
    <w:p w:rsidR="0072404F" w:rsidRPr="00494C85" w:rsidRDefault="0072404F">
      <w:r w:rsidRPr="00494C85">
        <w:t xml:space="preserve">Delegate who attended the Rho Chi Annual Meeting: </w:t>
      </w:r>
      <w:r w:rsidR="00003F0F" w:rsidRPr="00494C85">
        <w:t>Jacenta Gabriel</w:t>
      </w:r>
    </w:p>
    <w:p w:rsidR="0072404F" w:rsidRPr="00494C85" w:rsidRDefault="0072404F"/>
    <w:p w:rsidR="0072404F" w:rsidRPr="00494C85" w:rsidRDefault="00894460">
      <w:r w:rsidRPr="00494C85">
        <w:t xml:space="preserve">Date </w:t>
      </w:r>
      <w:r w:rsidR="00DC6700" w:rsidRPr="00494C85">
        <w:t>d</w:t>
      </w:r>
      <w:r w:rsidR="00D03865" w:rsidRPr="00494C85">
        <w:t xml:space="preserve">elegate’s name </w:t>
      </w:r>
      <w:r w:rsidR="000D73E4">
        <w:t>submitted to Rho Chi</w:t>
      </w:r>
      <w:r w:rsidR="0072404F" w:rsidRPr="00494C85">
        <w:t>:</w:t>
      </w:r>
      <w:r w:rsidR="000D73E4">
        <w:t xml:space="preserve"> </w:t>
      </w:r>
      <w:r w:rsidR="00003F0F" w:rsidRPr="00494C85">
        <w:t>3/2/2016</w:t>
      </w:r>
    </w:p>
    <w:p w:rsidR="0072404F" w:rsidRPr="00494C85" w:rsidRDefault="0072404F"/>
    <w:p w:rsidR="0072404F" w:rsidRPr="00494C85" w:rsidRDefault="00C7617B">
      <w:r w:rsidRPr="00494C85">
        <w:t>Past year’s o</w:t>
      </w:r>
      <w:r w:rsidR="0072404F" w:rsidRPr="00494C85">
        <w:t>fficers and e-mail addresses:</w:t>
      </w:r>
    </w:p>
    <w:p w:rsidR="0072404F" w:rsidRPr="00494C85" w:rsidRDefault="00DC6700">
      <w:r w:rsidRPr="00494C85">
        <w:t>President:</w:t>
      </w:r>
      <w:r w:rsidR="00003F0F" w:rsidRPr="00494C85">
        <w:t xml:space="preserve"> Emily Jaynes; ejaynes@umich.edu</w:t>
      </w:r>
    </w:p>
    <w:p w:rsidR="00DC6700" w:rsidRPr="00494C85" w:rsidRDefault="00DC6700">
      <w:r w:rsidRPr="00494C85">
        <w:t>Vice President:</w:t>
      </w:r>
      <w:r w:rsidR="00003F0F" w:rsidRPr="00494C85">
        <w:t xml:space="preserve"> Kayla Popova; khardie@umich.edu</w:t>
      </w:r>
    </w:p>
    <w:p w:rsidR="00DC6700" w:rsidRPr="00494C85" w:rsidRDefault="00DC6700">
      <w:r w:rsidRPr="00494C85">
        <w:t>Secretary:</w:t>
      </w:r>
      <w:r w:rsidR="00003F0F" w:rsidRPr="00494C85">
        <w:t xml:space="preserve"> Jade Lee; jadelee@umich.edu</w:t>
      </w:r>
    </w:p>
    <w:p w:rsidR="00DC6700" w:rsidRPr="00494C85" w:rsidRDefault="00DC6700">
      <w:r w:rsidRPr="00494C85">
        <w:t>Treasurer:</w:t>
      </w:r>
      <w:r w:rsidR="00003F0F" w:rsidRPr="00494C85">
        <w:t xml:space="preserve"> John De Leon; jdele@umich.edu</w:t>
      </w:r>
    </w:p>
    <w:p w:rsidR="0072404F" w:rsidRPr="00494C85" w:rsidRDefault="00DC6700">
      <w:r w:rsidRPr="00494C85">
        <w:t>Historian:</w:t>
      </w:r>
      <w:r w:rsidR="00003F0F" w:rsidRPr="00494C85">
        <w:t xml:space="preserve"> Danielle Schian; dmschian@umich.edu</w:t>
      </w:r>
    </w:p>
    <w:p w:rsidR="00003F0F" w:rsidRPr="00494C85" w:rsidRDefault="00003F0F"/>
    <w:p w:rsidR="0072404F" w:rsidRPr="00494C85" w:rsidRDefault="00C7617B">
      <w:r w:rsidRPr="00494C85">
        <w:t>New o</w:t>
      </w:r>
      <w:r w:rsidR="0072404F" w:rsidRPr="00494C85">
        <w:t>ff</w:t>
      </w:r>
      <w:r w:rsidRPr="00494C85">
        <w:t>icers and e-mail addresses for next academic y</w:t>
      </w:r>
      <w:r w:rsidR="0072404F" w:rsidRPr="00494C85">
        <w:t>ear:</w:t>
      </w:r>
    </w:p>
    <w:p w:rsidR="00DC6700" w:rsidRPr="00494C85" w:rsidRDefault="00DC6700" w:rsidP="00DC6700">
      <w:r w:rsidRPr="00494C85">
        <w:t>President:</w:t>
      </w:r>
      <w:r w:rsidR="00003F0F" w:rsidRPr="00494C85">
        <w:t xml:space="preserve"> Hanjie Mo; hanjiemo@umich.edu</w:t>
      </w:r>
    </w:p>
    <w:p w:rsidR="00DC6700" w:rsidRPr="00494C85" w:rsidRDefault="00DC6700" w:rsidP="00DC6700">
      <w:r w:rsidRPr="00494C85">
        <w:t>Vice President:</w:t>
      </w:r>
      <w:r w:rsidR="00003F0F" w:rsidRPr="00494C85">
        <w:t xml:space="preserve"> Jacenta Gabriel; jacenta@umich.edu</w:t>
      </w:r>
    </w:p>
    <w:p w:rsidR="00DC6700" w:rsidRPr="00494C85" w:rsidRDefault="00DC6700" w:rsidP="00DC6700">
      <w:r w:rsidRPr="00494C85">
        <w:t>Secretary:</w:t>
      </w:r>
      <w:r w:rsidR="00003F0F" w:rsidRPr="00494C85">
        <w:t xml:space="preserve"> Parin Shah; parinsh@umich.edu</w:t>
      </w:r>
    </w:p>
    <w:p w:rsidR="00DC6700" w:rsidRPr="00494C85" w:rsidRDefault="00DC6700" w:rsidP="00DC6700">
      <w:r w:rsidRPr="00494C85">
        <w:t>Treasurer:</w:t>
      </w:r>
      <w:r w:rsidR="00003F0F" w:rsidRPr="00494C85">
        <w:t xml:space="preserve"> Sarah Young; sarahey@umich.edu</w:t>
      </w:r>
    </w:p>
    <w:p w:rsidR="00DC6700" w:rsidRPr="00494C85" w:rsidRDefault="00DC6700" w:rsidP="00DC6700">
      <w:r w:rsidRPr="00494C85">
        <w:t>Historian:</w:t>
      </w:r>
      <w:r w:rsidR="00003F0F" w:rsidRPr="00494C85">
        <w:t xml:space="preserve"> Lindsey Zeplin; slzeplin@umich.edu</w:t>
      </w:r>
    </w:p>
    <w:p w:rsidR="0072404F" w:rsidRPr="00494C85" w:rsidRDefault="0072404F">
      <w:pPr>
        <w:rPr>
          <w:b/>
          <w:bCs/>
        </w:rPr>
      </w:pPr>
    </w:p>
    <w:p w:rsidR="00D03865" w:rsidRDefault="00D03865" w:rsidP="00D03865">
      <w:pPr>
        <w:rPr>
          <w:bCs/>
        </w:rPr>
      </w:pPr>
      <w:r w:rsidRPr="00494C85">
        <w:rPr>
          <w:bCs/>
        </w:rPr>
        <w:t>Number of Rho Chi student members at college or school, listed by</w:t>
      </w:r>
      <w:r w:rsidR="00003F0F" w:rsidRPr="00494C85">
        <w:rPr>
          <w:bCs/>
        </w:rPr>
        <w:t xml:space="preserve"> class year and program</w:t>
      </w:r>
      <w:r w:rsidRPr="00494C85">
        <w:rPr>
          <w:bCs/>
        </w:rPr>
        <w:t>:</w:t>
      </w:r>
    </w:p>
    <w:p w:rsidR="0079434F" w:rsidRDefault="0079434F" w:rsidP="00D0386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6F188B" w:rsidRPr="006F188B" w:rsidTr="006F188B">
        <w:tc>
          <w:tcPr>
            <w:tcW w:w="2394" w:type="dxa"/>
          </w:tcPr>
          <w:p w:rsidR="0079434F" w:rsidRPr="006F188B" w:rsidRDefault="0079434F" w:rsidP="00D03865">
            <w:pPr>
              <w:rPr>
                <w:bCs/>
              </w:rPr>
            </w:pPr>
            <w:r w:rsidRPr="006F188B">
              <w:rPr>
                <w:bCs/>
              </w:rPr>
              <w:t>1. Allison Elias</w:t>
            </w:r>
          </w:p>
        </w:tc>
        <w:tc>
          <w:tcPr>
            <w:tcW w:w="2394" w:type="dxa"/>
          </w:tcPr>
          <w:p w:rsidR="0079434F" w:rsidRPr="006F188B" w:rsidRDefault="0079434F" w:rsidP="00D03865">
            <w:pPr>
              <w:rPr>
                <w:bCs/>
              </w:rPr>
            </w:pPr>
            <w:r w:rsidRPr="006F188B">
              <w:rPr>
                <w:bCs/>
              </w:rPr>
              <w:t>2. Jacenta Gabriel</w:t>
            </w:r>
          </w:p>
        </w:tc>
        <w:tc>
          <w:tcPr>
            <w:tcW w:w="2394" w:type="dxa"/>
          </w:tcPr>
          <w:p w:rsidR="0079434F" w:rsidRPr="006F188B" w:rsidRDefault="0079434F" w:rsidP="00D03865">
            <w:pPr>
              <w:rPr>
                <w:bCs/>
              </w:rPr>
            </w:pPr>
            <w:r w:rsidRPr="006F188B">
              <w:rPr>
                <w:bCs/>
              </w:rPr>
              <w:t>3. Michael Harrison</w:t>
            </w:r>
          </w:p>
        </w:tc>
        <w:tc>
          <w:tcPr>
            <w:tcW w:w="2394" w:type="dxa"/>
          </w:tcPr>
          <w:p w:rsidR="0079434F" w:rsidRPr="006F188B" w:rsidRDefault="0079434F" w:rsidP="00D03865">
            <w:pPr>
              <w:rPr>
                <w:bCs/>
              </w:rPr>
            </w:pPr>
            <w:r w:rsidRPr="006F188B">
              <w:rPr>
                <w:bCs/>
              </w:rPr>
              <w:t>4. Todd Hershberger</w:t>
            </w:r>
          </w:p>
        </w:tc>
      </w:tr>
      <w:tr w:rsidR="006F188B" w:rsidRPr="006F188B" w:rsidTr="006F188B">
        <w:tc>
          <w:tcPr>
            <w:tcW w:w="2394" w:type="dxa"/>
          </w:tcPr>
          <w:p w:rsidR="0079434F" w:rsidRPr="006F188B" w:rsidRDefault="0079434F" w:rsidP="00D03865">
            <w:pPr>
              <w:rPr>
                <w:bCs/>
              </w:rPr>
            </w:pPr>
            <w:r w:rsidRPr="006F188B">
              <w:rPr>
                <w:bCs/>
              </w:rPr>
              <w:t>5. Megan Lim</w:t>
            </w:r>
          </w:p>
        </w:tc>
        <w:tc>
          <w:tcPr>
            <w:tcW w:w="2394" w:type="dxa"/>
          </w:tcPr>
          <w:p w:rsidR="0079434F" w:rsidRPr="006F188B" w:rsidRDefault="0079434F" w:rsidP="00D03865">
            <w:pPr>
              <w:rPr>
                <w:bCs/>
              </w:rPr>
            </w:pPr>
            <w:r w:rsidRPr="006F188B">
              <w:rPr>
                <w:bCs/>
              </w:rPr>
              <w:t>6. Hanjie Mo</w:t>
            </w:r>
          </w:p>
        </w:tc>
        <w:tc>
          <w:tcPr>
            <w:tcW w:w="2394" w:type="dxa"/>
          </w:tcPr>
          <w:p w:rsidR="0079434F" w:rsidRPr="006F188B" w:rsidRDefault="0079434F" w:rsidP="00D03865">
            <w:pPr>
              <w:rPr>
                <w:bCs/>
              </w:rPr>
            </w:pPr>
            <w:r w:rsidRPr="006F188B">
              <w:rPr>
                <w:bCs/>
              </w:rPr>
              <w:t>7. Millie Mo</w:t>
            </w:r>
          </w:p>
        </w:tc>
        <w:tc>
          <w:tcPr>
            <w:tcW w:w="2394" w:type="dxa"/>
          </w:tcPr>
          <w:p w:rsidR="0079434F" w:rsidRPr="006F188B" w:rsidRDefault="0079434F" w:rsidP="00D03865">
            <w:pPr>
              <w:rPr>
                <w:bCs/>
              </w:rPr>
            </w:pPr>
            <w:r w:rsidRPr="006F188B">
              <w:rPr>
                <w:bCs/>
              </w:rPr>
              <w:t>8. Brent Parshall</w:t>
            </w:r>
          </w:p>
        </w:tc>
      </w:tr>
      <w:tr w:rsidR="006F188B" w:rsidRPr="006F188B" w:rsidTr="006F188B">
        <w:tc>
          <w:tcPr>
            <w:tcW w:w="2394" w:type="dxa"/>
          </w:tcPr>
          <w:p w:rsidR="0079434F" w:rsidRPr="006F188B" w:rsidRDefault="0079434F" w:rsidP="00D03865">
            <w:pPr>
              <w:rPr>
                <w:bCs/>
              </w:rPr>
            </w:pPr>
            <w:r w:rsidRPr="006F188B">
              <w:rPr>
                <w:bCs/>
              </w:rPr>
              <w:t>9. Janish Patel</w:t>
            </w:r>
          </w:p>
        </w:tc>
        <w:tc>
          <w:tcPr>
            <w:tcW w:w="2394" w:type="dxa"/>
          </w:tcPr>
          <w:p w:rsidR="0079434F" w:rsidRPr="006F188B" w:rsidRDefault="0079434F" w:rsidP="00D03865">
            <w:pPr>
              <w:rPr>
                <w:bCs/>
              </w:rPr>
            </w:pPr>
            <w:r w:rsidRPr="006F188B">
              <w:rPr>
                <w:bCs/>
              </w:rPr>
              <w:t>10. Caroline Quinn</w:t>
            </w:r>
          </w:p>
        </w:tc>
        <w:tc>
          <w:tcPr>
            <w:tcW w:w="2394" w:type="dxa"/>
          </w:tcPr>
          <w:p w:rsidR="0079434F" w:rsidRPr="006F188B" w:rsidRDefault="0079434F" w:rsidP="00D03865">
            <w:pPr>
              <w:rPr>
                <w:bCs/>
              </w:rPr>
            </w:pPr>
            <w:r w:rsidRPr="006F188B">
              <w:rPr>
                <w:bCs/>
              </w:rPr>
              <w:t>11. Parin Shah</w:t>
            </w:r>
          </w:p>
        </w:tc>
        <w:tc>
          <w:tcPr>
            <w:tcW w:w="2394" w:type="dxa"/>
          </w:tcPr>
          <w:p w:rsidR="0079434F" w:rsidRPr="006F188B" w:rsidRDefault="0079434F" w:rsidP="00D03865">
            <w:pPr>
              <w:rPr>
                <w:bCs/>
              </w:rPr>
            </w:pPr>
            <w:r w:rsidRPr="006F188B">
              <w:rPr>
                <w:bCs/>
              </w:rPr>
              <w:t>12. Jillian Syverson</w:t>
            </w:r>
          </w:p>
        </w:tc>
      </w:tr>
      <w:tr w:rsidR="006F188B" w:rsidRPr="006F188B" w:rsidTr="006F188B">
        <w:tc>
          <w:tcPr>
            <w:tcW w:w="2394" w:type="dxa"/>
          </w:tcPr>
          <w:p w:rsidR="0079434F" w:rsidRPr="006F188B" w:rsidRDefault="0079434F" w:rsidP="00D03865">
            <w:pPr>
              <w:rPr>
                <w:bCs/>
              </w:rPr>
            </w:pPr>
            <w:r w:rsidRPr="006F188B">
              <w:rPr>
                <w:bCs/>
              </w:rPr>
              <w:t>13. Alyssa Turner</w:t>
            </w:r>
          </w:p>
        </w:tc>
        <w:tc>
          <w:tcPr>
            <w:tcW w:w="2394" w:type="dxa"/>
          </w:tcPr>
          <w:p w:rsidR="0079434F" w:rsidRPr="006F188B" w:rsidRDefault="0079434F" w:rsidP="00D03865">
            <w:pPr>
              <w:rPr>
                <w:bCs/>
              </w:rPr>
            </w:pPr>
            <w:r w:rsidRPr="006F188B">
              <w:rPr>
                <w:bCs/>
              </w:rPr>
              <w:t>14. Emily Van Wieren</w:t>
            </w:r>
          </w:p>
        </w:tc>
        <w:tc>
          <w:tcPr>
            <w:tcW w:w="2394" w:type="dxa"/>
          </w:tcPr>
          <w:p w:rsidR="0079434F" w:rsidRPr="006F188B" w:rsidRDefault="0079434F" w:rsidP="00D03865">
            <w:pPr>
              <w:rPr>
                <w:bCs/>
              </w:rPr>
            </w:pPr>
            <w:r w:rsidRPr="006F188B">
              <w:rPr>
                <w:bCs/>
              </w:rPr>
              <w:t>15. Sarah Young</w:t>
            </w:r>
          </w:p>
        </w:tc>
        <w:tc>
          <w:tcPr>
            <w:tcW w:w="2394" w:type="dxa"/>
          </w:tcPr>
          <w:p w:rsidR="0079434F" w:rsidRPr="006F188B" w:rsidRDefault="0079434F" w:rsidP="00D03865">
            <w:pPr>
              <w:rPr>
                <w:bCs/>
              </w:rPr>
            </w:pPr>
            <w:r w:rsidRPr="006F188B">
              <w:rPr>
                <w:bCs/>
              </w:rPr>
              <w:t>16. Lindsey Zeplin</w:t>
            </w:r>
          </w:p>
        </w:tc>
      </w:tr>
    </w:tbl>
    <w:p w:rsidR="00056EAC" w:rsidRPr="00494C85" w:rsidRDefault="00056EAC" w:rsidP="00D03865">
      <w:pPr>
        <w:rPr>
          <w:bCs/>
        </w:rPr>
      </w:pPr>
    </w:p>
    <w:p w:rsidR="00D03865" w:rsidRPr="00494C85" w:rsidRDefault="00056EAC" w:rsidP="00056EAC">
      <w:pPr>
        <w:rPr>
          <w:bCs/>
        </w:rPr>
      </w:pPr>
      <w:r w:rsidRPr="00494C85">
        <w:rPr>
          <w:bCs/>
        </w:rPr>
        <w:t>All members are fourth year pharmacy students (graduating in April 2017) and attend the University of Michigan College of Pharmacy.</w:t>
      </w:r>
    </w:p>
    <w:p w:rsidR="00D03865" w:rsidRDefault="00D03865" w:rsidP="005F3A28">
      <w:pPr>
        <w:pStyle w:val="BodyTextIndent"/>
        <w:ind w:left="0"/>
        <w:rPr>
          <w:b/>
        </w:rPr>
      </w:pPr>
    </w:p>
    <w:p w:rsidR="0079434F" w:rsidRDefault="0079434F" w:rsidP="005F3A28">
      <w:pPr>
        <w:pStyle w:val="BodyTextIndent"/>
        <w:ind w:left="0"/>
        <w:rPr>
          <w:b/>
        </w:rPr>
      </w:pPr>
    </w:p>
    <w:p w:rsidR="0079434F" w:rsidRDefault="0079434F" w:rsidP="005F3A28">
      <w:pPr>
        <w:pStyle w:val="BodyTextIndent"/>
        <w:ind w:left="0"/>
        <w:rPr>
          <w:b/>
        </w:rPr>
      </w:pPr>
    </w:p>
    <w:p w:rsidR="0079434F" w:rsidRPr="00494C85" w:rsidRDefault="0079434F" w:rsidP="005F3A28">
      <w:pPr>
        <w:pStyle w:val="BodyTextIndent"/>
        <w:ind w:left="0"/>
        <w:rPr>
          <w:b/>
        </w:rPr>
      </w:pPr>
    </w:p>
    <w:p w:rsidR="00A228E2" w:rsidRPr="00494C85" w:rsidRDefault="00EB3609" w:rsidP="000D73E4">
      <w:pPr>
        <w:pStyle w:val="BodyTextIndent"/>
        <w:ind w:left="1170" w:hanging="1170"/>
      </w:pPr>
      <w:r w:rsidRPr="00494C85">
        <w:rPr>
          <w:b/>
        </w:rPr>
        <w:lastRenderedPageBreak/>
        <w:t>Meetings</w:t>
      </w:r>
      <w:r w:rsidRPr="00494C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50"/>
        <w:gridCol w:w="4644"/>
        <w:gridCol w:w="2286"/>
      </w:tblGrid>
      <w:tr w:rsidR="005F3A28" w:rsidRPr="00494C85" w:rsidTr="00494C85">
        <w:tc>
          <w:tcPr>
            <w:tcW w:w="1080" w:type="dxa"/>
          </w:tcPr>
          <w:p w:rsidR="005F3A28" w:rsidRPr="00494C85" w:rsidRDefault="005F3A28" w:rsidP="003E1E95">
            <w:pPr>
              <w:pStyle w:val="BodyTextIndent"/>
              <w:ind w:left="0"/>
            </w:pPr>
            <w:r w:rsidRPr="00494C85">
              <w:t>Date</w:t>
            </w:r>
          </w:p>
        </w:tc>
        <w:tc>
          <w:tcPr>
            <w:tcW w:w="1350" w:type="dxa"/>
          </w:tcPr>
          <w:p w:rsidR="005F3A28" w:rsidRPr="00494C85" w:rsidRDefault="005F3A28" w:rsidP="003E1E95">
            <w:pPr>
              <w:pStyle w:val="BodyTextIndent"/>
              <w:ind w:left="0"/>
            </w:pPr>
            <w:r w:rsidRPr="00494C85">
              <w:t>Attendance</w:t>
            </w:r>
          </w:p>
        </w:tc>
        <w:tc>
          <w:tcPr>
            <w:tcW w:w="4644" w:type="dxa"/>
          </w:tcPr>
          <w:p w:rsidR="005F3A28" w:rsidRPr="00494C85" w:rsidRDefault="005F3A28" w:rsidP="003E1E95">
            <w:pPr>
              <w:pStyle w:val="BodyTextIndent"/>
              <w:ind w:left="0"/>
            </w:pPr>
            <w:r w:rsidRPr="00494C85">
              <w:t>Agenda</w:t>
            </w:r>
          </w:p>
        </w:tc>
        <w:tc>
          <w:tcPr>
            <w:tcW w:w="2286" w:type="dxa"/>
          </w:tcPr>
          <w:p w:rsidR="005F3A28" w:rsidRPr="00494C85" w:rsidRDefault="005F3A28" w:rsidP="003E1E95">
            <w:pPr>
              <w:pStyle w:val="BodyTextIndent"/>
              <w:ind w:left="0"/>
            </w:pPr>
            <w:r w:rsidRPr="00494C85">
              <w:t>Action Steps</w:t>
            </w:r>
          </w:p>
        </w:tc>
      </w:tr>
      <w:tr w:rsidR="00056EAC" w:rsidRPr="00494C85" w:rsidTr="00494C85">
        <w:tc>
          <w:tcPr>
            <w:tcW w:w="1080" w:type="dxa"/>
          </w:tcPr>
          <w:p w:rsidR="00056EAC" w:rsidRPr="00494C85" w:rsidRDefault="00056EAC" w:rsidP="003E1E95">
            <w:pPr>
              <w:pStyle w:val="BodyTextIndent"/>
              <w:ind w:left="0"/>
            </w:pPr>
            <w:r w:rsidRPr="00494C85">
              <w:t>4/22/15</w:t>
            </w:r>
          </w:p>
        </w:tc>
        <w:tc>
          <w:tcPr>
            <w:tcW w:w="1350" w:type="dxa"/>
          </w:tcPr>
          <w:p w:rsidR="00056EAC" w:rsidRPr="00494C85" w:rsidRDefault="00056EAC" w:rsidP="003E1E95">
            <w:pPr>
              <w:pStyle w:val="BodyTextIndent"/>
              <w:ind w:left="0"/>
            </w:pPr>
            <w:r w:rsidRPr="00494C85">
              <w:t>5 executive board members</w:t>
            </w:r>
          </w:p>
        </w:tc>
        <w:tc>
          <w:tcPr>
            <w:tcW w:w="4644" w:type="dxa"/>
          </w:tcPr>
          <w:p w:rsidR="00056EAC" w:rsidRPr="00494C85" w:rsidRDefault="00056EAC" w:rsidP="00764176">
            <w:pPr>
              <w:rPr>
                <w:rFonts w:eastAsia="Arial Unicode MS"/>
              </w:rPr>
            </w:pPr>
            <w:r w:rsidRPr="00494C85">
              <w:rPr>
                <w:rFonts w:eastAsia="Arial Unicode MS"/>
                <w:u w:val="single"/>
              </w:rPr>
              <w:t>Objectives</w:t>
            </w:r>
            <w:r w:rsidRPr="00494C85">
              <w:rPr>
                <w:rFonts w:eastAsia="Arial Unicode MS"/>
              </w:rPr>
              <w:t xml:space="preserve">: </w:t>
            </w:r>
            <w:r w:rsidRPr="00494C85">
              <w:rPr>
                <w:rFonts w:eastAsia="Arial Unicode MS"/>
                <w:color w:val="000000"/>
              </w:rPr>
              <w:t>Develop a roadmap and calendar for the 2015-2016 Rho Chi executive board’s activities and responsibilities; assign leads/due dates for major projects. 1. Induction Ceremony planning 2. Shadow Program planning 3. Project PEERS planning 4. Learning Styles Workshop planning/ discussion to continue to terminate 5. Golf Outing planning/ discussion to continue participating 6. Housekeeping 7. Goals</w:t>
            </w:r>
          </w:p>
        </w:tc>
        <w:tc>
          <w:tcPr>
            <w:tcW w:w="2286" w:type="dxa"/>
          </w:tcPr>
          <w:p w:rsidR="00056EAC" w:rsidRPr="00494C85" w:rsidRDefault="00056EAC" w:rsidP="00764176">
            <w:pPr>
              <w:rPr>
                <w:rFonts w:eastAsia="Arial Unicode MS"/>
              </w:rPr>
            </w:pPr>
            <w:r w:rsidRPr="00494C85">
              <w:rPr>
                <w:rFonts w:eastAsia="Arial Unicode MS"/>
              </w:rPr>
              <w:t>Assigned leads of each project to begin the respective projects' associated tasks as discussed</w:t>
            </w:r>
          </w:p>
        </w:tc>
      </w:tr>
      <w:tr w:rsidR="005A5227" w:rsidRPr="00494C85" w:rsidTr="00494C85">
        <w:tc>
          <w:tcPr>
            <w:tcW w:w="1080" w:type="dxa"/>
          </w:tcPr>
          <w:p w:rsidR="005A5227" w:rsidRPr="00494C85" w:rsidRDefault="005A5227" w:rsidP="00764176">
            <w:pPr>
              <w:rPr>
                <w:rFonts w:eastAsia="Arial Unicode MS"/>
              </w:rPr>
            </w:pPr>
            <w:r w:rsidRPr="00494C85">
              <w:rPr>
                <w:rFonts w:eastAsia="Arial Unicode MS"/>
              </w:rPr>
              <w:t>5/28/15</w:t>
            </w:r>
          </w:p>
        </w:tc>
        <w:tc>
          <w:tcPr>
            <w:tcW w:w="1350" w:type="dxa"/>
          </w:tcPr>
          <w:p w:rsidR="005A5227" w:rsidRPr="00494C85" w:rsidRDefault="005A5227" w:rsidP="00764176">
            <w:pPr>
              <w:rPr>
                <w:rFonts w:eastAsia="Arial Unicode MS"/>
              </w:rPr>
            </w:pPr>
            <w:r w:rsidRPr="00494C85">
              <w:rPr>
                <w:rFonts w:eastAsia="Arial Unicode MS"/>
              </w:rPr>
              <w:t xml:space="preserve">4 executive board members </w:t>
            </w:r>
          </w:p>
        </w:tc>
        <w:tc>
          <w:tcPr>
            <w:tcW w:w="4644" w:type="dxa"/>
          </w:tcPr>
          <w:p w:rsidR="005A5227" w:rsidRPr="00494C85" w:rsidRDefault="005A5227" w:rsidP="00764176">
            <w:pPr>
              <w:rPr>
                <w:rFonts w:eastAsia="Arial Unicode MS"/>
              </w:rPr>
            </w:pPr>
            <w:r w:rsidRPr="00494C85">
              <w:rPr>
                <w:rFonts w:eastAsia="Arial Unicode MS"/>
                <w:u w:val="single"/>
              </w:rPr>
              <w:t>Objective</w:t>
            </w:r>
            <w:r w:rsidRPr="00494C85">
              <w:rPr>
                <w:rFonts w:eastAsia="Arial Unicode MS"/>
              </w:rPr>
              <w:t>: Shadow Program planning 1. Review/edit task list and due dates 2. Assignment of tasks</w:t>
            </w:r>
          </w:p>
        </w:tc>
        <w:tc>
          <w:tcPr>
            <w:tcW w:w="2286" w:type="dxa"/>
          </w:tcPr>
          <w:p w:rsidR="005A5227" w:rsidRPr="00494C85" w:rsidRDefault="005A5227" w:rsidP="00764176">
            <w:pPr>
              <w:rPr>
                <w:rFonts w:eastAsia="Arial Unicode MS"/>
              </w:rPr>
            </w:pPr>
            <w:r w:rsidRPr="00494C85">
              <w:rPr>
                <w:rFonts w:eastAsia="Arial Unicode MS"/>
              </w:rPr>
              <w:t>Leads of Shadow Program to complete assigned tasks as discussed</w:t>
            </w:r>
          </w:p>
        </w:tc>
      </w:tr>
      <w:tr w:rsidR="005A5227" w:rsidRPr="00494C85" w:rsidTr="00494C85">
        <w:tc>
          <w:tcPr>
            <w:tcW w:w="1080" w:type="dxa"/>
          </w:tcPr>
          <w:p w:rsidR="005A5227" w:rsidRPr="00494C85" w:rsidRDefault="005A5227" w:rsidP="00764176">
            <w:pPr>
              <w:rPr>
                <w:rFonts w:eastAsia="Arial Unicode MS"/>
              </w:rPr>
            </w:pPr>
            <w:r w:rsidRPr="00494C85">
              <w:rPr>
                <w:rFonts w:eastAsia="Arial Unicode MS"/>
              </w:rPr>
              <w:t xml:space="preserve">10/29/15 </w:t>
            </w:r>
          </w:p>
        </w:tc>
        <w:tc>
          <w:tcPr>
            <w:tcW w:w="1350" w:type="dxa"/>
          </w:tcPr>
          <w:p w:rsidR="005A5227" w:rsidRPr="00494C85" w:rsidRDefault="005A5227" w:rsidP="005A5227">
            <w:pPr>
              <w:rPr>
                <w:rFonts w:eastAsia="Arial Unicode MS"/>
              </w:rPr>
            </w:pPr>
            <w:r w:rsidRPr="00494C85">
              <w:rPr>
                <w:rFonts w:eastAsia="Arial Unicode MS"/>
              </w:rPr>
              <w:t xml:space="preserve">5 executive board members </w:t>
            </w:r>
          </w:p>
        </w:tc>
        <w:tc>
          <w:tcPr>
            <w:tcW w:w="4644" w:type="dxa"/>
          </w:tcPr>
          <w:p w:rsidR="005A5227" w:rsidRPr="00494C85" w:rsidRDefault="005A5227" w:rsidP="00764176">
            <w:pPr>
              <w:rPr>
                <w:rFonts w:eastAsia="Arial Unicode MS"/>
              </w:rPr>
            </w:pPr>
            <w:r w:rsidRPr="00494C85">
              <w:rPr>
                <w:rFonts w:eastAsia="Arial Unicode MS"/>
                <w:u w:val="single"/>
              </w:rPr>
              <w:t>Objective</w:t>
            </w:r>
            <w:r w:rsidR="000D73E4">
              <w:rPr>
                <w:rFonts w:eastAsia="Arial Unicode MS"/>
              </w:rPr>
              <w:t xml:space="preserve">: PEERS Tutoring Service </w:t>
            </w:r>
            <w:r w:rsidRPr="00494C85">
              <w:rPr>
                <w:rFonts w:eastAsia="Arial Unicode MS"/>
              </w:rPr>
              <w:t>planning</w:t>
            </w:r>
            <w:r w:rsidR="000D73E4">
              <w:rPr>
                <w:rFonts w:eastAsia="Arial Unicode MS"/>
              </w:rPr>
              <w:t xml:space="preserve"> and increasing member involvement</w:t>
            </w:r>
            <w:r w:rsidRPr="00494C85">
              <w:rPr>
                <w:rFonts w:eastAsia="Arial Unicode MS"/>
              </w:rPr>
              <w:t xml:space="preserve"> 1. </w:t>
            </w:r>
            <w:r w:rsidR="000D73E4">
              <w:rPr>
                <w:rFonts w:eastAsia="Arial Unicode MS"/>
              </w:rPr>
              <w:t xml:space="preserve">Overview of tutoring issues 2. </w:t>
            </w:r>
            <w:r w:rsidRPr="00494C85">
              <w:rPr>
                <w:rFonts w:eastAsia="Arial Unicode MS"/>
              </w:rPr>
              <w:t>Determine a way to gauge student thoughts/interest in the PEERS tutoring service or</w:t>
            </w:r>
            <w:r w:rsidR="000D73E4">
              <w:rPr>
                <w:rFonts w:eastAsia="Arial Unicode MS"/>
              </w:rPr>
              <w:t>ganized by Rho Chi 2. Set meeting date for study tips panel</w:t>
            </w:r>
            <w:r w:rsidRPr="00494C85">
              <w:rPr>
                <w:rFonts w:eastAsia="Arial Unicode MS"/>
              </w:rPr>
              <w:t xml:space="preserve"> 3. Brainstorm ideas for increasing member involvement</w:t>
            </w:r>
          </w:p>
        </w:tc>
        <w:tc>
          <w:tcPr>
            <w:tcW w:w="2286" w:type="dxa"/>
          </w:tcPr>
          <w:p w:rsidR="005A5227" w:rsidRPr="00494C85" w:rsidRDefault="005A5227" w:rsidP="00764176">
            <w:pPr>
              <w:rPr>
                <w:rFonts w:eastAsia="Arial Unicode MS"/>
              </w:rPr>
            </w:pPr>
            <w:r w:rsidRPr="00494C85">
              <w:rPr>
                <w:rFonts w:eastAsia="Arial Unicode MS"/>
              </w:rPr>
              <w:t xml:space="preserve">1. Develop study question submission box 2. Plan and host study tips panel for January 2016 by scheduling a separate planning meeting 3. Send out an end-of-semester email survey to gauge student desires for tutoring services 4. </w:t>
            </w:r>
            <w:r w:rsidRPr="00494C85">
              <w:rPr>
                <w:rFonts w:eastAsia="Arial Unicode MS"/>
                <w:color w:val="000000"/>
              </w:rPr>
              <w:t>Notify P3 Rho Chi members that tutoring/organization participation will be mandatory to run for an executive board position, effective immediately</w:t>
            </w:r>
          </w:p>
        </w:tc>
      </w:tr>
      <w:tr w:rsidR="005A5227" w:rsidRPr="00494C85" w:rsidTr="00494C85">
        <w:tc>
          <w:tcPr>
            <w:tcW w:w="1080" w:type="dxa"/>
          </w:tcPr>
          <w:p w:rsidR="005A5227" w:rsidRPr="00494C85" w:rsidRDefault="005A5227" w:rsidP="00764176">
            <w:pPr>
              <w:rPr>
                <w:rFonts w:eastAsia="Arial Unicode MS"/>
              </w:rPr>
            </w:pPr>
            <w:r w:rsidRPr="00494C85">
              <w:rPr>
                <w:rFonts w:eastAsia="Arial Unicode MS"/>
              </w:rPr>
              <w:t xml:space="preserve">12/15/15 </w:t>
            </w:r>
          </w:p>
        </w:tc>
        <w:tc>
          <w:tcPr>
            <w:tcW w:w="1350" w:type="dxa"/>
          </w:tcPr>
          <w:p w:rsidR="005A5227" w:rsidRPr="00494C85" w:rsidRDefault="005A5227" w:rsidP="00764176">
            <w:pPr>
              <w:rPr>
                <w:rFonts w:eastAsia="Arial Unicode MS"/>
              </w:rPr>
            </w:pPr>
            <w:r w:rsidRPr="00494C85">
              <w:rPr>
                <w:rFonts w:eastAsia="Arial Unicode MS"/>
              </w:rPr>
              <w:t>2 executive board members, 6 general members</w:t>
            </w:r>
          </w:p>
        </w:tc>
        <w:tc>
          <w:tcPr>
            <w:tcW w:w="4644" w:type="dxa"/>
          </w:tcPr>
          <w:p w:rsidR="0079434F" w:rsidRDefault="005A5227" w:rsidP="0079434F">
            <w:pPr>
              <w:textAlignment w:val="baseline"/>
              <w:rPr>
                <w:rFonts w:eastAsia="Arial Unicode MS"/>
                <w:color w:val="000000"/>
              </w:rPr>
            </w:pPr>
            <w:r w:rsidRPr="00494C85">
              <w:rPr>
                <w:rFonts w:eastAsia="Arial Unicode MS"/>
                <w:color w:val="000000"/>
                <w:u w:val="single"/>
              </w:rPr>
              <w:t>Objective</w:t>
            </w:r>
            <w:r w:rsidRPr="00494C85">
              <w:rPr>
                <w:rFonts w:eastAsia="Arial Unicode MS"/>
                <w:color w:val="000000"/>
              </w:rPr>
              <w:t>: Study Tips Event planning</w:t>
            </w:r>
            <w:r w:rsidR="000D73E4">
              <w:rPr>
                <w:rFonts w:eastAsia="Arial Unicode MS"/>
                <w:color w:val="000000"/>
              </w:rPr>
              <w:t xml:space="preserve"> 1.</w:t>
            </w:r>
            <w:r w:rsidRPr="00494C85">
              <w:rPr>
                <w:rFonts w:eastAsia="Arial Unicode MS"/>
                <w:color w:val="000000"/>
              </w:rPr>
              <w:t xml:space="preserve"> Study Tips Event Planning: format, date/ scheduling conflicts, durati</w:t>
            </w:r>
            <w:r w:rsidR="000D73E4">
              <w:rPr>
                <w:rFonts w:eastAsia="Arial Unicode MS"/>
                <w:color w:val="000000"/>
              </w:rPr>
              <w:t>on, logistics, task assignment 2</w:t>
            </w:r>
            <w:r w:rsidRPr="00494C85">
              <w:rPr>
                <w:rFonts w:eastAsia="Arial Unicode MS"/>
                <w:color w:val="000000"/>
              </w:rPr>
              <w:t>. Discussion of use</w:t>
            </w:r>
            <w:r w:rsidR="000D73E4">
              <w:rPr>
                <w:rFonts w:eastAsia="Arial Unicode MS"/>
                <w:color w:val="000000"/>
              </w:rPr>
              <w:t>fulness of study question bank 3</w:t>
            </w:r>
            <w:r w:rsidRPr="00494C85">
              <w:rPr>
                <w:rFonts w:eastAsia="Arial Unicode MS"/>
                <w:color w:val="000000"/>
              </w:rPr>
              <w:t>. Fill out tutoring survey</w:t>
            </w:r>
          </w:p>
          <w:p w:rsidR="000D73E4" w:rsidRDefault="000D73E4" w:rsidP="0079434F">
            <w:pPr>
              <w:textAlignment w:val="baseline"/>
              <w:rPr>
                <w:rFonts w:eastAsia="Arial Unicode MS"/>
                <w:color w:val="000000"/>
              </w:rPr>
            </w:pPr>
          </w:p>
          <w:p w:rsidR="000D73E4" w:rsidRDefault="000D73E4" w:rsidP="0079434F">
            <w:pPr>
              <w:textAlignment w:val="baseline"/>
              <w:rPr>
                <w:rFonts w:eastAsia="Arial Unicode MS"/>
                <w:color w:val="000000"/>
              </w:rPr>
            </w:pPr>
          </w:p>
          <w:p w:rsidR="000D73E4" w:rsidRPr="0079434F" w:rsidRDefault="000D73E4" w:rsidP="0079434F">
            <w:pPr>
              <w:textAlignment w:val="baseline"/>
              <w:rPr>
                <w:rFonts w:eastAsia="Arial Unicode MS"/>
                <w:color w:val="000000"/>
              </w:rPr>
            </w:pPr>
          </w:p>
        </w:tc>
        <w:tc>
          <w:tcPr>
            <w:tcW w:w="2286" w:type="dxa"/>
          </w:tcPr>
          <w:p w:rsidR="005A5227" w:rsidRPr="00494C85" w:rsidRDefault="005A5227" w:rsidP="00764176">
            <w:pPr>
              <w:rPr>
                <w:rFonts w:eastAsia="Arial Unicode MS"/>
              </w:rPr>
            </w:pPr>
            <w:r w:rsidRPr="00494C85">
              <w:rPr>
                <w:rFonts w:eastAsia="Arial Unicode MS"/>
              </w:rPr>
              <w:t>Assigned leads of each aspect of event to begin pertinent tasks as discussed</w:t>
            </w:r>
          </w:p>
        </w:tc>
      </w:tr>
      <w:tr w:rsidR="005A5227" w:rsidRPr="00494C85" w:rsidTr="00494C85">
        <w:tc>
          <w:tcPr>
            <w:tcW w:w="1080" w:type="dxa"/>
            <w:tcBorders>
              <w:top w:val="single" w:sz="4" w:space="0" w:color="auto"/>
              <w:left w:val="single" w:sz="4" w:space="0" w:color="auto"/>
              <w:bottom w:val="single" w:sz="4" w:space="0" w:color="auto"/>
              <w:right w:val="single" w:sz="4" w:space="0" w:color="auto"/>
            </w:tcBorders>
          </w:tcPr>
          <w:p w:rsidR="005A5227" w:rsidRPr="00494C85" w:rsidRDefault="005A5227" w:rsidP="00764176">
            <w:pPr>
              <w:rPr>
                <w:rFonts w:eastAsia="Arial Unicode MS"/>
              </w:rPr>
            </w:pPr>
            <w:r w:rsidRPr="00494C85">
              <w:rPr>
                <w:rFonts w:eastAsia="Arial Unicode MS"/>
              </w:rPr>
              <w:lastRenderedPageBreak/>
              <w:t xml:space="preserve">4/14/16 </w:t>
            </w:r>
          </w:p>
        </w:tc>
        <w:tc>
          <w:tcPr>
            <w:tcW w:w="1350" w:type="dxa"/>
            <w:tcBorders>
              <w:top w:val="single" w:sz="4" w:space="0" w:color="auto"/>
              <w:left w:val="single" w:sz="4" w:space="0" w:color="auto"/>
              <w:bottom w:val="single" w:sz="4" w:space="0" w:color="auto"/>
              <w:right w:val="single" w:sz="4" w:space="0" w:color="auto"/>
            </w:tcBorders>
          </w:tcPr>
          <w:p w:rsidR="005A5227" w:rsidRPr="00494C85" w:rsidRDefault="005A5227" w:rsidP="00494C85">
            <w:pPr>
              <w:rPr>
                <w:rFonts w:eastAsia="Arial Unicode MS"/>
              </w:rPr>
            </w:pPr>
            <w:r w:rsidRPr="00494C85">
              <w:rPr>
                <w:rFonts w:eastAsia="Arial Unicode MS"/>
              </w:rPr>
              <w:t xml:space="preserve">10 executive board members </w:t>
            </w:r>
          </w:p>
        </w:tc>
        <w:tc>
          <w:tcPr>
            <w:tcW w:w="4644" w:type="dxa"/>
            <w:tcBorders>
              <w:top w:val="single" w:sz="4" w:space="0" w:color="auto"/>
              <w:left w:val="single" w:sz="4" w:space="0" w:color="auto"/>
              <w:bottom w:val="single" w:sz="4" w:space="0" w:color="auto"/>
              <w:right w:val="single" w:sz="4" w:space="0" w:color="auto"/>
            </w:tcBorders>
          </w:tcPr>
          <w:p w:rsidR="005A5227" w:rsidRPr="00494C85" w:rsidRDefault="005A5227" w:rsidP="00764176">
            <w:r w:rsidRPr="00494C85">
              <w:rPr>
                <w:rFonts w:eastAsia="Arial Unicode MS"/>
                <w:u w:val="single"/>
              </w:rPr>
              <w:t>Objective</w:t>
            </w:r>
            <w:r w:rsidRPr="00494C85">
              <w:rPr>
                <w:rFonts w:eastAsia="Arial Unicode MS"/>
              </w:rPr>
              <w:t xml:space="preserve">: Transition materials and position roles/responsibilities to the new executive board </w:t>
            </w:r>
            <w:r w:rsidRPr="00494C85">
              <w:t>1. Introductions 2. Orientation activities 3. Information transition for recurring events/programs (Project PEERS, Shadow Program, Induction Ceremony, additional projects) 4. Elections 5. Individual position transition and explanation of roles 6. Goals for next year</w:t>
            </w:r>
          </w:p>
          <w:p w:rsidR="005A5227" w:rsidRPr="00494C85" w:rsidRDefault="005A5227" w:rsidP="00764176">
            <w:pPr>
              <w:rPr>
                <w:rFonts w:eastAsia="Arial Unicode MS"/>
              </w:rPr>
            </w:pPr>
          </w:p>
        </w:tc>
        <w:tc>
          <w:tcPr>
            <w:tcW w:w="2286" w:type="dxa"/>
            <w:tcBorders>
              <w:top w:val="single" w:sz="4" w:space="0" w:color="auto"/>
              <w:left w:val="single" w:sz="4" w:space="0" w:color="auto"/>
              <w:bottom w:val="single" w:sz="4" w:space="0" w:color="auto"/>
              <w:right w:val="single" w:sz="4" w:space="0" w:color="auto"/>
            </w:tcBorders>
          </w:tcPr>
          <w:p w:rsidR="005A5227" w:rsidRPr="00494C85" w:rsidRDefault="005A5227" w:rsidP="00764176">
            <w:pPr>
              <w:rPr>
                <w:rFonts w:eastAsia="Arial Unicode MS"/>
              </w:rPr>
            </w:pPr>
            <w:r w:rsidRPr="00494C85">
              <w:rPr>
                <w:rFonts w:eastAsia="Arial Unicode MS"/>
              </w:rPr>
              <w:t>To be determined by the new executive board</w:t>
            </w:r>
          </w:p>
        </w:tc>
      </w:tr>
    </w:tbl>
    <w:p w:rsidR="0072404F" w:rsidRPr="00494C85" w:rsidRDefault="0072404F">
      <w:pPr>
        <w:pStyle w:val="BodyTextIndent"/>
        <w:ind w:left="900" w:hanging="900"/>
      </w:pPr>
    </w:p>
    <w:p w:rsidR="0072404F" w:rsidRPr="00494C85" w:rsidRDefault="0072404F" w:rsidP="00E60E82">
      <w:pPr>
        <w:pStyle w:val="BodyTextIndent"/>
        <w:ind w:left="2250" w:hanging="2250"/>
      </w:pPr>
      <w:r w:rsidRPr="00494C85">
        <w:rPr>
          <w:b/>
        </w:rPr>
        <w:t>Strategic Planning</w:t>
      </w:r>
      <w:r w:rsidRPr="00494C85">
        <w:t>: What goals were set tha</w:t>
      </w:r>
      <w:r w:rsidR="00C7617B" w:rsidRPr="00494C85">
        <w:t>t relate to the Rho Chi mission?</w:t>
      </w:r>
      <w:r w:rsidR="00494C85">
        <w:t xml:space="preserve"> </w:t>
      </w:r>
    </w:p>
    <w:p w:rsidR="0072404F" w:rsidRPr="00494C85" w:rsidRDefault="0072404F">
      <w:pPr>
        <w:pStyle w:val="BodyTextIndent"/>
        <w:ind w:left="900" w:hanging="900"/>
      </w:pPr>
    </w:p>
    <w:p w:rsidR="002B4E3F" w:rsidRPr="00494C85" w:rsidRDefault="002B4E3F" w:rsidP="002B4E3F">
      <w:pPr>
        <w:textAlignment w:val="baseline"/>
        <w:rPr>
          <w:color w:val="000000"/>
        </w:rPr>
      </w:pPr>
      <w:r w:rsidRPr="00494C85">
        <w:rPr>
          <w:color w:val="000000"/>
        </w:rPr>
        <w:t>During the 2015-16 academic year, we aimed to:</w:t>
      </w:r>
    </w:p>
    <w:p w:rsidR="002B4E3F" w:rsidRPr="00494C85" w:rsidRDefault="002B4E3F" w:rsidP="002B4E3F">
      <w:pPr>
        <w:pStyle w:val="ListParagraph"/>
        <w:numPr>
          <w:ilvl w:val="0"/>
          <w:numId w:val="3"/>
        </w:numPr>
        <w:spacing w:after="0" w:line="240" w:lineRule="auto"/>
        <w:textAlignment w:val="baseline"/>
        <w:rPr>
          <w:rFonts w:ascii="Times New Roman" w:eastAsia="Times New Roman" w:hAnsi="Times New Roman"/>
          <w:color w:val="000000"/>
          <w:sz w:val="24"/>
          <w:szCs w:val="24"/>
        </w:rPr>
      </w:pPr>
      <w:r w:rsidRPr="00494C85">
        <w:rPr>
          <w:rFonts w:ascii="Times New Roman" w:eastAsia="Times New Roman" w:hAnsi="Times New Roman"/>
          <w:color w:val="000000"/>
          <w:sz w:val="24"/>
          <w:szCs w:val="24"/>
        </w:rPr>
        <w:t>expand the Shadow Program by recruiting more preceptors from various pharmacy career backgrounds to provide students with a greater wealth of shadowing experiences</w:t>
      </w:r>
    </w:p>
    <w:p w:rsidR="002B4E3F" w:rsidRPr="00494C85" w:rsidRDefault="002B4E3F" w:rsidP="002B4E3F">
      <w:pPr>
        <w:pStyle w:val="ListParagraph"/>
        <w:numPr>
          <w:ilvl w:val="0"/>
          <w:numId w:val="3"/>
        </w:numPr>
        <w:spacing w:after="0" w:line="240" w:lineRule="auto"/>
        <w:textAlignment w:val="baseline"/>
        <w:rPr>
          <w:rFonts w:ascii="Times New Roman" w:eastAsia="Times New Roman" w:hAnsi="Times New Roman"/>
          <w:color w:val="000000"/>
          <w:sz w:val="24"/>
          <w:szCs w:val="24"/>
        </w:rPr>
      </w:pPr>
      <w:r w:rsidRPr="00494C85">
        <w:rPr>
          <w:rFonts w:ascii="Times New Roman" w:eastAsia="Times New Roman" w:hAnsi="Times New Roman"/>
          <w:color w:val="000000"/>
          <w:sz w:val="24"/>
          <w:szCs w:val="24"/>
        </w:rPr>
        <w:t>evaluate the need to continue the Project P.E.E.R.S., our tutoring program; if continued, to also restructure the program so that students derive greater benefit from it</w:t>
      </w:r>
    </w:p>
    <w:p w:rsidR="002B4E3F" w:rsidRPr="00494C85" w:rsidRDefault="002B4E3F" w:rsidP="002B4E3F">
      <w:pPr>
        <w:pStyle w:val="ListParagraph"/>
        <w:numPr>
          <w:ilvl w:val="0"/>
          <w:numId w:val="3"/>
        </w:numPr>
        <w:spacing w:after="0" w:line="240" w:lineRule="auto"/>
        <w:textAlignment w:val="baseline"/>
        <w:rPr>
          <w:rFonts w:ascii="Times New Roman" w:eastAsia="Times New Roman" w:hAnsi="Times New Roman"/>
          <w:color w:val="000000"/>
          <w:sz w:val="24"/>
          <w:szCs w:val="24"/>
        </w:rPr>
      </w:pPr>
      <w:r w:rsidRPr="00494C85">
        <w:rPr>
          <w:rFonts w:ascii="Times New Roman" w:eastAsia="Times New Roman" w:hAnsi="Times New Roman"/>
          <w:color w:val="000000"/>
          <w:sz w:val="24"/>
          <w:szCs w:val="24"/>
        </w:rPr>
        <w:t>create a novel event that is geared toward approaches to studying for pharmacy school  based on different learning styles</w:t>
      </w:r>
    </w:p>
    <w:p w:rsidR="002B4E3F" w:rsidRPr="00494C85" w:rsidRDefault="002B4E3F" w:rsidP="002B4E3F">
      <w:pPr>
        <w:pStyle w:val="ListParagraph"/>
        <w:numPr>
          <w:ilvl w:val="0"/>
          <w:numId w:val="3"/>
        </w:numPr>
        <w:spacing w:after="0" w:line="240" w:lineRule="auto"/>
        <w:textAlignment w:val="baseline"/>
        <w:rPr>
          <w:rFonts w:ascii="Times New Roman" w:eastAsia="Times New Roman" w:hAnsi="Times New Roman"/>
          <w:color w:val="000000"/>
          <w:sz w:val="24"/>
          <w:szCs w:val="24"/>
        </w:rPr>
      </w:pPr>
      <w:r w:rsidRPr="00494C85">
        <w:rPr>
          <w:rFonts w:ascii="Times New Roman" w:eastAsia="Times New Roman" w:hAnsi="Times New Roman"/>
          <w:color w:val="000000"/>
          <w:sz w:val="24"/>
          <w:szCs w:val="24"/>
        </w:rPr>
        <w:t>collaborate with Phi Lambda Sigma to conduct a successful event for the initiation of new members that highlights their academic success</w:t>
      </w:r>
    </w:p>
    <w:p w:rsidR="002B4E3F" w:rsidRPr="00494C85" w:rsidRDefault="002B4E3F" w:rsidP="002B4E3F">
      <w:pPr>
        <w:pStyle w:val="ListParagraph"/>
        <w:numPr>
          <w:ilvl w:val="0"/>
          <w:numId w:val="3"/>
        </w:numPr>
        <w:spacing w:after="0" w:line="240" w:lineRule="auto"/>
        <w:textAlignment w:val="baseline"/>
        <w:rPr>
          <w:rFonts w:ascii="Times New Roman" w:eastAsia="Times New Roman" w:hAnsi="Times New Roman"/>
          <w:color w:val="000000"/>
          <w:sz w:val="24"/>
          <w:szCs w:val="24"/>
        </w:rPr>
      </w:pPr>
      <w:r w:rsidRPr="00494C85">
        <w:rPr>
          <w:rFonts w:ascii="Times New Roman" w:eastAsia="Times New Roman" w:hAnsi="Times New Roman"/>
          <w:color w:val="000000"/>
          <w:sz w:val="24"/>
          <w:szCs w:val="24"/>
        </w:rPr>
        <w:t>increase member participation in activities and organization visibility within the College of Pharmacy</w:t>
      </w:r>
    </w:p>
    <w:p w:rsidR="00A228E2" w:rsidRDefault="00A228E2">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900" w:hanging="900"/>
      </w:pPr>
    </w:p>
    <w:p w:rsidR="0079434F" w:rsidRDefault="0079434F">
      <w:pPr>
        <w:pStyle w:val="BodyTextIndent"/>
        <w:ind w:left="0"/>
      </w:pPr>
    </w:p>
    <w:p w:rsidR="0079434F" w:rsidRDefault="0079434F">
      <w:pPr>
        <w:pStyle w:val="BodyTextIndent"/>
        <w:ind w:left="0"/>
      </w:pPr>
    </w:p>
    <w:p w:rsidR="0079434F" w:rsidRDefault="0079434F">
      <w:pPr>
        <w:pStyle w:val="BodyTextIndent"/>
        <w:ind w:left="0"/>
        <w:sectPr w:rsidR="0079434F" w:rsidSect="00045BF9">
          <w:headerReference w:type="even" r:id="rId7"/>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79434F" w:rsidRPr="0079434F" w:rsidRDefault="0079434F" w:rsidP="0079434F">
      <w:pPr>
        <w:pStyle w:val="BodyTextIndent"/>
        <w:ind w:left="0"/>
        <w:jc w:val="center"/>
        <w:rPr>
          <w:b/>
        </w:rPr>
      </w:pPr>
      <w:r w:rsidRPr="0079434F">
        <w:rPr>
          <w:b/>
        </w:rPr>
        <w:lastRenderedPageBreak/>
        <w:t>Chapter Activity Report</w:t>
      </w:r>
      <w:r>
        <w:rPr>
          <w:b/>
        </w:rPr>
        <w:t xml:space="preserve"> 2015-16</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2520"/>
        <w:gridCol w:w="1710"/>
        <w:gridCol w:w="1080"/>
        <w:gridCol w:w="2880"/>
        <w:gridCol w:w="1440"/>
        <w:gridCol w:w="1260"/>
        <w:gridCol w:w="1440"/>
      </w:tblGrid>
      <w:tr w:rsidR="00817578" w:rsidRPr="00494C85" w:rsidTr="00817578">
        <w:tc>
          <w:tcPr>
            <w:tcW w:w="13320" w:type="dxa"/>
            <w:gridSpan w:val="8"/>
            <w:shd w:val="clear" w:color="auto" w:fill="auto"/>
          </w:tcPr>
          <w:p w:rsidR="0079434F" w:rsidRPr="00494C85" w:rsidRDefault="00817578" w:rsidP="00817578">
            <w:pPr>
              <w:jc w:val="center"/>
              <w:rPr>
                <w:rFonts w:eastAsia="Calibri"/>
                <w:u w:val="single"/>
              </w:rPr>
            </w:pPr>
            <w:r>
              <w:rPr>
                <w:rFonts w:eastAsia="Calibri"/>
                <w:u w:val="single"/>
              </w:rPr>
              <w:t xml:space="preserve">                         </w:t>
            </w:r>
            <w:r w:rsidR="0079434F">
              <w:rPr>
                <w:rFonts w:eastAsia="Calibri"/>
                <w:u w:val="single"/>
              </w:rPr>
              <w:t>Alpha Chapter, University of Michigan College of Pharmacy</w:t>
            </w:r>
            <w:r w:rsidR="0079434F" w:rsidRPr="00494C85">
              <w:rPr>
                <w:rFonts w:eastAsia="Calibri"/>
                <w:u w:val="single"/>
              </w:rPr>
              <w:t xml:space="preserve"> Activity Table</w:t>
            </w:r>
          </w:p>
        </w:tc>
        <w:tc>
          <w:tcPr>
            <w:tcW w:w="1440" w:type="dxa"/>
            <w:shd w:val="clear" w:color="auto" w:fill="auto"/>
          </w:tcPr>
          <w:p w:rsidR="0079434F" w:rsidRPr="00494C85" w:rsidRDefault="0079434F" w:rsidP="00764176">
            <w:pPr>
              <w:rPr>
                <w:rFonts w:eastAsia="Calibri"/>
                <w:u w:val="single"/>
              </w:rPr>
            </w:pPr>
          </w:p>
        </w:tc>
      </w:tr>
      <w:tr w:rsidR="00817578" w:rsidRPr="00494C85" w:rsidTr="00E05535">
        <w:tc>
          <w:tcPr>
            <w:tcW w:w="1350" w:type="dxa"/>
            <w:shd w:val="clear" w:color="auto" w:fill="F2F2F2"/>
          </w:tcPr>
          <w:p w:rsidR="0079434F" w:rsidRPr="00494C85" w:rsidRDefault="0079434F" w:rsidP="00764176">
            <w:pPr>
              <w:rPr>
                <w:rFonts w:eastAsia="Calibri"/>
                <w:vertAlign w:val="superscript"/>
              </w:rPr>
            </w:pPr>
            <w:r w:rsidRPr="00494C85">
              <w:rPr>
                <w:rFonts w:eastAsia="Calibri"/>
              </w:rPr>
              <w:t>Category of Activity</w:t>
            </w:r>
            <w:r w:rsidRPr="00494C85">
              <w:rPr>
                <w:rFonts w:eastAsia="Calibri"/>
                <w:vertAlign w:val="superscript"/>
              </w:rPr>
              <w:t>1</w:t>
            </w:r>
          </w:p>
        </w:tc>
        <w:tc>
          <w:tcPr>
            <w:tcW w:w="1080" w:type="dxa"/>
            <w:shd w:val="clear" w:color="auto" w:fill="F2F2F2"/>
          </w:tcPr>
          <w:p w:rsidR="0079434F" w:rsidRPr="00494C85" w:rsidRDefault="0079434F" w:rsidP="00764176">
            <w:pPr>
              <w:rPr>
                <w:rFonts w:eastAsia="Calibri"/>
              </w:rPr>
            </w:pPr>
            <w:r w:rsidRPr="00494C85">
              <w:rPr>
                <w:rFonts w:eastAsia="Calibri"/>
              </w:rPr>
              <w:t>Title of Activity</w:t>
            </w:r>
          </w:p>
        </w:tc>
        <w:tc>
          <w:tcPr>
            <w:tcW w:w="2520" w:type="dxa"/>
            <w:shd w:val="clear" w:color="auto" w:fill="F2F2F2"/>
          </w:tcPr>
          <w:p w:rsidR="0079434F" w:rsidRPr="00494C85" w:rsidRDefault="0079434F" w:rsidP="00764176">
            <w:pPr>
              <w:rPr>
                <w:rFonts w:eastAsia="Calibri"/>
                <w:vertAlign w:val="superscript"/>
              </w:rPr>
            </w:pPr>
            <w:r w:rsidRPr="00494C85">
              <w:rPr>
                <w:rFonts w:eastAsia="Calibri"/>
              </w:rPr>
              <w:t>Brief Description</w:t>
            </w:r>
            <w:r w:rsidRPr="00494C85">
              <w:rPr>
                <w:rFonts w:eastAsia="Calibri"/>
                <w:vertAlign w:val="superscript"/>
              </w:rPr>
              <w:t>2</w:t>
            </w:r>
          </w:p>
        </w:tc>
        <w:tc>
          <w:tcPr>
            <w:tcW w:w="1710" w:type="dxa"/>
            <w:shd w:val="clear" w:color="auto" w:fill="F2F2F2"/>
          </w:tcPr>
          <w:p w:rsidR="0079434F" w:rsidRPr="00494C85" w:rsidRDefault="0079434F" w:rsidP="00764176">
            <w:pPr>
              <w:rPr>
                <w:rFonts w:eastAsia="Calibri"/>
              </w:rPr>
            </w:pPr>
            <w:r w:rsidRPr="00494C85">
              <w:rPr>
                <w:rFonts w:eastAsia="Calibri"/>
              </w:rPr>
              <w:t>How Does This Activity Align With the Rho Chi Mission Statement?</w:t>
            </w:r>
          </w:p>
        </w:tc>
        <w:tc>
          <w:tcPr>
            <w:tcW w:w="1080" w:type="dxa"/>
            <w:shd w:val="clear" w:color="auto" w:fill="F2F2F2"/>
          </w:tcPr>
          <w:p w:rsidR="0079434F" w:rsidRPr="00494C85" w:rsidRDefault="0079434F" w:rsidP="00764176">
            <w:pPr>
              <w:rPr>
                <w:rFonts w:eastAsia="Calibri"/>
              </w:rPr>
            </w:pPr>
            <w:r w:rsidRPr="00494C85">
              <w:rPr>
                <w:rFonts w:eastAsia="Calibri"/>
              </w:rPr>
              <w:t>Year</w:t>
            </w:r>
            <w:r w:rsidR="00817578">
              <w:rPr>
                <w:rFonts w:eastAsia="Calibri"/>
              </w:rPr>
              <w:t>s the Activity has Been Ongoing</w:t>
            </w:r>
          </w:p>
        </w:tc>
        <w:tc>
          <w:tcPr>
            <w:tcW w:w="2880" w:type="dxa"/>
            <w:shd w:val="clear" w:color="auto" w:fill="F2F2F2"/>
          </w:tcPr>
          <w:p w:rsidR="0079434F" w:rsidRPr="00494C85" w:rsidRDefault="0079434F" w:rsidP="00764176">
            <w:pPr>
              <w:rPr>
                <w:rFonts w:eastAsia="Calibri"/>
              </w:rPr>
            </w:pPr>
            <w:r w:rsidRPr="00494C85">
              <w:rPr>
                <w:rFonts w:eastAsia="Calibri"/>
              </w:rPr>
              <w:t>If Activity has Been Ongoing for &gt;1 Year, What Evaluations Have Been Done to Assess the Success of the Activity and What Improvements Have Been Done Over the Past Year?</w:t>
            </w:r>
          </w:p>
        </w:tc>
        <w:tc>
          <w:tcPr>
            <w:tcW w:w="1440" w:type="dxa"/>
            <w:shd w:val="clear" w:color="auto" w:fill="F2F2F2"/>
          </w:tcPr>
          <w:p w:rsidR="0079434F" w:rsidRPr="00494C85" w:rsidRDefault="00817578" w:rsidP="00764176">
            <w:pPr>
              <w:rPr>
                <w:rFonts w:eastAsia="Calibri"/>
              </w:rPr>
            </w:pPr>
            <w:r>
              <w:rPr>
                <w:rFonts w:eastAsia="Calibri"/>
              </w:rPr>
              <w:t># of participating members</w:t>
            </w:r>
          </w:p>
        </w:tc>
        <w:tc>
          <w:tcPr>
            <w:tcW w:w="1260" w:type="dxa"/>
            <w:shd w:val="clear" w:color="auto" w:fill="F2F2F2"/>
          </w:tcPr>
          <w:p w:rsidR="0079434F" w:rsidRPr="00494C85" w:rsidRDefault="00817578" w:rsidP="00764176">
            <w:pPr>
              <w:rPr>
                <w:rFonts w:eastAsia="Calibri"/>
              </w:rPr>
            </w:pPr>
            <w:r>
              <w:rPr>
                <w:rFonts w:eastAsia="Calibri"/>
              </w:rPr>
              <w:t># of students/ non-members impacted</w:t>
            </w:r>
          </w:p>
        </w:tc>
        <w:tc>
          <w:tcPr>
            <w:tcW w:w="1440" w:type="dxa"/>
            <w:shd w:val="clear" w:color="auto" w:fill="F2F2F2"/>
          </w:tcPr>
          <w:p w:rsidR="0079434F" w:rsidRPr="00494C85" w:rsidRDefault="0079434F" w:rsidP="00817578">
            <w:pPr>
              <w:rPr>
                <w:rFonts w:eastAsia="Calibri"/>
              </w:rPr>
            </w:pPr>
            <w:r w:rsidRPr="00494C85">
              <w:rPr>
                <w:rFonts w:eastAsia="Calibri"/>
              </w:rPr>
              <w:t xml:space="preserve">Financial Information for the Activity </w:t>
            </w:r>
          </w:p>
        </w:tc>
      </w:tr>
      <w:tr w:rsidR="00817578" w:rsidRPr="00494C85" w:rsidTr="00E05535">
        <w:trPr>
          <w:trHeight w:val="2024"/>
        </w:trPr>
        <w:tc>
          <w:tcPr>
            <w:tcW w:w="1350" w:type="dxa"/>
            <w:shd w:val="clear" w:color="auto" w:fill="FFC000"/>
          </w:tcPr>
          <w:p w:rsidR="0079434F" w:rsidRPr="00494C85" w:rsidRDefault="0079434F" w:rsidP="00764176">
            <w:pPr>
              <w:rPr>
                <w:rFonts w:eastAsia="Calibri"/>
              </w:rPr>
            </w:pPr>
            <w:r w:rsidRPr="00494C85">
              <w:rPr>
                <w:rFonts w:eastAsia="Calibri"/>
              </w:rPr>
              <w:t>Intellectual Leadership Activity</w:t>
            </w:r>
          </w:p>
        </w:tc>
        <w:tc>
          <w:tcPr>
            <w:tcW w:w="1080" w:type="dxa"/>
            <w:shd w:val="clear" w:color="auto" w:fill="FFC000"/>
          </w:tcPr>
          <w:p w:rsidR="0079434F" w:rsidRPr="00494C85" w:rsidRDefault="00817578" w:rsidP="00764176">
            <w:pPr>
              <w:rPr>
                <w:rFonts w:eastAsia="Calibri"/>
              </w:rPr>
            </w:pPr>
            <w:r>
              <w:rPr>
                <w:rFonts w:eastAsia="Calibri"/>
              </w:rPr>
              <w:t>PEERS</w:t>
            </w:r>
            <w:r w:rsidR="0079434F" w:rsidRPr="00494C85">
              <w:rPr>
                <w:rFonts w:eastAsia="Calibri"/>
              </w:rPr>
              <w:t xml:space="preserve"> Tutoring Program</w:t>
            </w:r>
          </w:p>
        </w:tc>
        <w:tc>
          <w:tcPr>
            <w:tcW w:w="2520" w:type="dxa"/>
            <w:shd w:val="clear" w:color="auto" w:fill="FFC000"/>
          </w:tcPr>
          <w:p w:rsidR="0079434F" w:rsidRPr="00494C85" w:rsidRDefault="0079434F" w:rsidP="00764176">
            <w:pPr>
              <w:rPr>
                <w:rFonts w:eastAsia="Calibri"/>
              </w:rPr>
            </w:pPr>
            <w:r w:rsidRPr="00494C85">
              <w:rPr>
                <w:rFonts w:eastAsia="Calibri"/>
              </w:rPr>
              <w:t xml:space="preserve">A tutoring session schedule is set before the start of each semester, so that sessions are timed several days prior to pharmacy exams. Rho Chi members volunteer to staff these sessions, so that tutoring was provided free of charge on a walk-in basis. </w:t>
            </w:r>
          </w:p>
        </w:tc>
        <w:tc>
          <w:tcPr>
            <w:tcW w:w="1710" w:type="dxa"/>
            <w:shd w:val="clear" w:color="auto" w:fill="FFC000"/>
          </w:tcPr>
          <w:p w:rsidR="0079434F" w:rsidRPr="00494C85" w:rsidRDefault="0079434F" w:rsidP="00764176">
            <w:pPr>
              <w:rPr>
                <w:rFonts w:eastAsia="Calibri"/>
              </w:rPr>
            </w:pPr>
            <w:r w:rsidRPr="00494C85">
              <w:rPr>
                <w:rFonts w:eastAsia="Calibri"/>
              </w:rPr>
              <w:t>These sessions further the Rho Chi mission by promoting academic excellence within our College.</w:t>
            </w:r>
          </w:p>
        </w:tc>
        <w:tc>
          <w:tcPr>
            <w:tcW w:w="1080" w:type="dxa"/>
            <w:shd w:val="clear" w:color="auto" w:fill="FFC000"/>
          </w:tcPr>
          <w:p w:rsidR="0079434F" w:rsidRPr="00494C85" w:rsidRDefault="0079434F" w:rsidP="00764176">
            <w:pPr>
              <w:rPr>
                <w:rFonts w:eastAsia="Calibri"/>
              </w:rPr>
            </w:pPr>
            <w:r w:rsidRPr="00494C85">
              <w:rPr>
                <w:rFonts w:eastAsia="Calibri"/>
              </w:rPr>
              <w:t>3</w:t>
            </w:r>
          </w:p>
        </w:tc>
        <w:tc>
          <w:tcPr>
            <w:tcW w:w="2880" w:type="dxa"/>
            <w:shd w:val="clear" w:color="auto" w:fill="FFC000"/>
          </w:tcPr>
          <w:p w:rsidR="0079434F" w:rsidRPr="00494C85" w:rsidRDefault="0079434F" w:rsidP="006946D1">
            <w:pPr>
              <w:rPr>
                <w:rFonts w:eastAsia="Calibri"/>
              </w:rPr>
            </w:pPr>
            <w:r w:rsidRPr="00494C85">
              <w:rPr>
                <w:rFonts w:eastAsia="Calibri"/>
              </w:rPr>
              <w:t xml:space="preserve">Extensive evaluation of this program has been ongoing throughout the 2015-16 academic year, as it struggled with low numbers of both students seeking study assistance and Rho Chi volunteers. Executive board members met several times with College administration to explore ways in which to make the program more effective; changes to the program will likely take place during the next academic year. </w:t>
            </w:r>
          </w:p>
        </w:tc>
        <w:tc>
          <w:tcPr>
            <w:tcW w:w="1440" w:type="dxa"/>
            <w:shd w:val="clear" w:color="auto" w:fill="FFC000"/>
          </w:tcPr>
          <w:p w:rsidR="0079434F" w:rsidRPr="00494C85" w:rsidRDefault="00817578" w:rsidP="00764176">
            <w:pPr>
              <w:rPr>
                <w:rFonts w:eastAsia="Calibri"/>
              </w:rPr>
            </w:pPr>
            <w:r>
              <w:rPr>
                <w:rFonts w:eastAsia="Calibri"/>
              </w:rPr>
              <w:t>17</w:t>
            </w:r>
            <w:r w:rsidR="0079434F" w:rsidRPr="00494C85">
              <w:rPr>
                <w:rFonts w:eastAsia="Calibri"/>
              </w:rPr>
              <w:t xml:space="preserve"> </w:t>
            </w:r>
          </w:p>
        </w:tc>
        <w:tc>
          <w:tcPr>
            <w:tcW w:w="1260" w:type="dxa"/>
            <w:shd w:val="clear" w:color="auto" w:fill="FFC000"/>
          </w:tcPr>
          <w:p w:rsidR="0079434F" w:rsidRPr="00494C85" w:rsidRDefault="00817578" w:rsidP="00764176">
            <w:pPr>
              <w:rPr>
                <w:rFonts w:eastAsia="Calibri"/>
              </w:rPr>
            </w:pPr>
            <w:r>
              <w:rPr>
                <w:rFonts w:eastAsia="Calibri"/>
              </w:rPr>
              <w:t>42</w:t>
            </w:r>
          </w:p>
        </w:tc>
        <w:tc>
          <w:tcPr>
            <w:tcW w:w="1440" w:type="dxa"/>
            <w:shd w:val="clear" w:color="auto" w:fill="FFC000"/>
          </w:tcPr>
          <w:p w:rsidR="0079434F" w:rsidRPr="00494C85" w:rsidRDefault="0079434F" w:rsidP="00764176">
            <w:pPr>
              <w:rPr>
                <w:rFonts w:eastAsia="Calibri"/>
              </w:rPr>
            </w:pPr>
            <w:r w:rsidRPr="00494C85">
              <w:rPr>
                <w:rFonts w:eastAsia="Calibri"/>
              </w:rPr>
              <w:t>This program did not require funding.</w:t>
            </w:r>
          </w:p>
        </w:tc>
      </w:tr>
      <w:tr w:rsidR="00817578" w:rsidRPr="00494C85" w:rsidTr="00E05535">
        <w:trPr>
          <w:trHeight w:val="2024"/>
        </w:trPr>
        <w:tc>
          <w:tcPr>
            <w:tcW w:w="1350" w:type="dxa"/>
            <w:shd w:val="clear" w:color="auto" w:fill="FFC000"/>
          </w:tcPr>
          <w:p w:rsidR="0079434F" w:rsidRPr="00494C85" w:rsidRDefault="0079434F" w:rsidP="00764176">
            <w:pPr>
              <w:rPr>
                <w:rFonts w:eastAsia="Calibri"/>
              </w:rPr>
            </w:pPr>
            <w:r w:rsidRPr="00494C85">
              <w:rPr>
                <w:rFonts w:eastAsia="Calibri"/>
              </w:rPr>
              <w:lastRenderedPageBreak/>
              <w:t>Intellectual Leadership Activity</w:t>
            </w:r>
          </w:p>
        </w:tc>
        <w:tc>
          <w:tcPr>
            <w:tcW w:w="1080" w:type="dxa"/>
            <w:shd w:val="clear" w:color="auto" w:fill="FFC000"/>
          </w:tcPr>
          <w:p w:rsidR="0079434F" w:rsidRPr="00494C85" w:rsidRDefault="0079434F" w:rsidP="00764176">
            <w:pPr>
              <w:rPr>
                <w:rFonts w:eastAsia="Calibri"/>
              </w:rPr>
            </w:pPr>
            <w:r w:rsidRPr="00494C85">
              <w:rPr>
                <w:rFonts w:eastAsia="Calibri"/>
              </w:rPr>
              <w:t>Study Tips Event</w:t>
            </w:r>
          </w:p>
        </w:tc>
        <w:tc>
          <w:tcPr>
            <w:tcW w:w="2520" w:type="dxa"/>
            <w:shd w:val="clear" w:color="auto" w:fill="FFC000"/>
          </w:tcPr>
          <w:p w:rsidR="0079434F" w:rsidRPr="00494C85" w:rsidRDefault="00E05535" w:rsidP="00764176">
            <w:pPr>
              <w:rPr>
                <w:rFonts w:eastAsia="Calibri"/>
              </w:rPr>
            </w:pPr>
            <w:r>
              <w:rPr>
                <w:rFonts w:eastAsia="Calibri"/>
              </w:rPr>
              <w:t xml:space="preserve">Rho Chi members presented strategies for academic success to P1 and P2 students. Presented topics included the best places to study, resources for struggling students, study strategies of Rho Chi members, and prioritization of time. After the presentation, a panel of Rho Chi members took questions from the audience. </w:t>
            </w:r>
          </w:p>
        </w:tc>
        <w:tc>
          <w:tcPr>
            <w:tcW w:w="1710" w:type="dxa"/>
            <w:shd w:val="clear" w:color="auto" w:fill="FFC000"/>
          </w:tcPr>
          <w:p w:rsidR="0079434F" w:rsidRPr="00494C85" w:rsidRDefault="00E05535" w:rsidP="00764176">
            <w:pPr>
              <w:rPr>
                <w:rFonts w:eastAsia="Calibri"/>
              </w:rPr>
            </w:pPr>
            <w:r>
              <w:rPr>
                <w:rFonts w:eastAsia="Calibri"/>
              </w:rPr>
              <w:t>This event aligns with Rho Chi's mission to foster leadership development among chapter members and to promote intellectual excellence within the College of Pharmacy.</w:t>
            </w:r>
          </w:p>
        </w:tc>
        <w:tc>
          <w:tcPr>
            <w:tcW w:w="1080" w:type="dxa"/>
            <w:shd w:val="clear" w:color="auto" w:fill="FFC000"/>
          </w:tcPr>
          <w:p w:rsidR="0079434F" w:rsidRPr="00494C85" w:rsidRDefault="0079434F" w:rsidP="00764176">
            <w:pPr>
              <w:rPr>
                <w:rFonts w:eastAsia="Calibri"/>
              </w:rPr>
            </w:pPr>
            <w:r w:rsidRPr="00494C85">
              <w:rPr>
                <w:rFonts w:eastAsia="Calibri"/>
              </w:rPr>
              <w:t xml:space="preserve">1 </w:t>
            </w:r>
          </w:p>
        </w:tc>
        <w:tc>
          <w:tcPr>
            <w:tcW w:w="2880" w:type="dxa"/>
            <w:shd w:val="clear" w:color="auto" w:fill="FFC000"/>
          </w:tcPr>
          <w:p w:rsidR="0079434F" w:rsidRPr="00494C85" w:rsidRDefault="00E05535" w:rsidP="00764176">
            <w:pPr>
              <w:rPr>
                <w:rFonts w:eastAsia="Calibri"/>
              </w:rPr>
            </w:pPr>
            <w:r>
              <w:rPr>
                <w:rFonts w:eastAsia="Calibri"/>
              </w:rPr>
              <w:t>N/A</w:t>
            </w:r>
          </w:p>
        </w:tc>
        <w:tc>
          <w:tcPr>
            <w:tcW w:w="1440" w:type="dxa"/>
            <w:shd w:val="clear" w:color="auto" w:fill="FFC000"/>
          </w:tcPr>
          <w:p w:rsidR="0079434F" w:rsidRPr="00494C85" w:rsidRDefault="00E05535" w:rsidP="00764176">
            <w:pPr>
              <w:rPr>
                <w:rFonts w:eastAsia="Calibri"/>
              </w:rPr>
            </w:pPr>
            <w:r>
              <w:rPr>
                <w:rFonts w:eastAsia="Calibri"/>
              </w:rPr>
              <w:t>11</w:t>
            </w:r>
          </w:p>
        </w:tc>
        <w:tc>
          <w:tcPr>
            <w:tcW w:w="1260" w:type="dxa"/>
            <w:shd w:val="clear" w:color="auto" w:fill="FFC000"/>
          </w:tcPr>
          <w:p w:rsidR="0079434F" w:rsidRPr="00494C85" w:rsidRDefault="00E05535" w:rsidP="00764176">
            <w:pPr>
              <w:rPr>
                <w:rFonts w:eastAsia="Calibri"/>
              </w:rPr>
            </w:pPr>
            <w:r>
              <w:rPr>
                <w:rFonts w:eastAsia="Calibri"/>
              </w:rPr>
              <w:t>61</w:t>
            </w:r>
          </w:p>
        </w:tc>
        <w:tc>
          <w:tcPr>
            <w:tcW w:w="1440" w:type="dxa"/>
            <w:shd w:val="clear" w:color="auto" w:fill="FFC000"/>
          </w:tcPr>
          <w:p w:rsidR="0079434F" w:rsidRPr="00494C85" w:rsidRDefault="00E05535" w:rsidP="00764176">
            <w:pPr>
              <w:rPr>
                <w:rFonts w:eastAsia="Calibri"/>
              </w:rPr>
            </w:pPr>
            <w:r>
              <w:rPr>
                <w:rFonts w:eastAsia="Calibri"/>
              </w:rPr>
              <w:t>This event did not require funding.</w:t>
            </w:r>
          </w:p>
        </w:tc>
      </w:tr>
      <w:tr w:rsidR="00817578" w:rsidRPr="00494C85" w:rsidTr="00E05535">
        <w:trPr>
          <w:trHeight w:val="1518"/>
        </w:trPr>
        <w:tc>
          <w:tcPr>
            <w:tcW w:w="1350" w:type="dxa"/>
            <w:shd w:val="clear" w:color="auto" w:fill="auto"/>
          </w:tcPr>
          <w:p w:rsidR="0079434F" w:rsidRPr="00494C85" w:rsidRDefault="0079434F" w:rsidP="00764176">
            <w:pPr>
              <w:rPr>
                <w:rFonts w:eastAsia="Calibri"/>
              </w:rPr>
            </w:pPr>
            <w:r w:rsidRPr="00494C85">
              <w:rPr>
                <w:rFonts w:eastAsia="Calibri"/>
              </w:rPr>
              <w:t>College of Pharmacy Event</w:t>
            </w:r>
          </w:p>
        </w:tc>
        <w:tc>
          <w:tcPr>
            <w:tcW w:w="1080" w:type="dxa"/>
            <w:shd w:val="clear" w:color="auto" w:fill="auto"/>
          </w:tcPr>
          <w:p w:rsidR="0079434F" w:rsidRPr="00494C85" w:rsidRDefault="0079434F" w:rsidP="00764176">
            <w:pPr>
              <w:rPr>
                <w:rFonts w:eastAsia="Calibri"/>
              </w:rPr>
            </w:pPr>
            <w:r w:rsidRPr="00494C85">
              <w:rPr>
                <w:rFonts w:eastAsia="Calibri"/>
              </w:rPr>
              <w:t>Shadow Program</w:t>
            </w:r>
          </w:p>
        </w:tc>
        <w:tc>
          <w:tcPr>
            <w:tcW w:w="2520" w:type="dxa"/>
            <w:shd w:val="clear" w:color="auto" w:fill="auto"/>
          </w:tcPr>
          <w:p w:rsidR="0079434F" w:rsidRPr="00494C85" w:rsidRDefault="0079434F" w:rsidP="00764176">
            <w:pPr>
              <w:rPr>
                <w:rFonts w:eastAsia="Calibri"/>
              </w:rPr>
            </w:pPr>
            <w:r w:rsidRPr="00494C85">
              <w:rPr>
                <w:rFonts w:eastAsia="Calibri"/>
              </w:rPr>
              <w:t>Students are matched with volunteer pharmacists working in a career of interest to the student for a subsequent shadow experience</w:t>
            </w:r>
          </w:p>
        </w:tc>
        <w:tc>
          <w:tcPr>
            <w:tcW w:w="1710" w:type="dxa"/>
            <w:shd w:val="clear" w:color="auto" w:fill="auto"/>
          </w:tcPr>
          <w:p w:rsidR="0079434F" w:rsidRPr="00494C85" w:rsidRDefault="004935E0" w:rsidP="00764176">
            <w:pPr>
              <w:rPr>
                <w:rFonts w:eastAsia="Calibri"/>
              </w:rPr>
            </w:pPr>
            <w:r>
              <w:rPr>
                <w:rFonts w:eastAsia="Calibri"/>
              </w:rPr>
              <w:t>This program c</w:t>
            </w:r>
            <w:r w:rsidR="0079434F" w:rsidRPr="00494C85">
              <w:rPr>
                <w:rFonts w:eastAsia="Calibri"/>
              </w:rPr>
              <w:t>reates career exploration opportunities for students</w:t>
            </w:r>
            <w:r>
              <w:rPr>
                <w:rFonts w:eastAsia="Calibri"/>
              </w:rPr>
              <w:t>.</w:t>
            </w:r>
          </w:p>
        </w:tc>
        <w:tc>
          <w:tcPr>
            <w:tcW w:w="1080" w:type="dxa"/>
            <w:shd w:val="clear" w:color="auto" w:fill="auto"/>
          </w:tcPr>
          <w:p w:rsidR="0079434F" w:rsidRPr="00494C85" w:rsidRDefault="0079434F" w:rsidP="00764176">
            <w:pPr>
              <w:rPr>
                <w:rFonts w:eastAsia="Calibri"/>
              </w:rPr>
            </w:pPr>
            <w:r w:rsidRPr="00494C85">
              <w:rPr>
                <w:rFonts w:eastAsia="Calibri"/>
              </w:rPr>
              <w:t>2</w:t>
            </w:r>
          </w:p>
        </w:tc>
        <w:tc>
          <w:tcPr>
            <w:tcW w:w="2880" w:type="dxa"/>
            <w:shd w:val="clear" w:color="auto" w:fill="auto"/>
          </w:tcPr>
          <w:p w:rsidR="0079434F" w:rsidRPr="00494C85" w:rsidRDefault="0079434F" w:rsidP="00764176">
            <w:pPr>
              <w:rPr>
                <w:rFonts w:eastAsia="Calibri"/>
              </w:rPr>
            </w:pPr>
            <w:r w:rsidRPr="00494C85">
              <w:rPr>
                <w:rFonts w:eastAsia="Calibri"/>
              </w:rPr>
              <w:t>At the end of the fall and win</w:t>
            </w:r>
            <w:r w:rsidR="004935E0">
              <w:rPr>
                <w:rFonts w:eastAsia="Calibri"/>
              </w:rPr>
              <w:t>ter semesters, which corresponded</w:t>
            </w:r>
            <w:r w:rsidRPr="00494C85">
              <w:rPr>
                <w:rFonts w:eastAsia="Calibri"/>
              </w:rPr>
              <w:t xml:space="preserve"> to the end of each shado</w:t>
            </w:r>
            <w:r w:rsidR="004935E0">
              <w:rPr>
                <w:rFonts w:eastAsia="Calibri"/>
              </w:rPr>
              <w:t>w experience period, surveys were</w:t>
            </w:r>
            <w:r w:rsidRPr="00494C85">
              <w:rPr>
                <w:rFonts w:eastAsia="Calibri"/>
              </w:rPr>
              <w:t xml:space="preserve"> sent out to both the student and pharmacist participants to assess how the program can be improved. We continued the practice of sending out a list of potential questions for the shadowing student to ask the pharmacist, as was suggested by a survey respondent during the prior year.</w:t>
            </w:r>
          </w:p>
        </w:tc>
        <w:tc>
          <w:tcPr>
            <w:tcW w:w="1440" w:type="dxa"/>
            <w:shd w:val="clear" w:color="auto" w:fill="auto"/>
          </w:tcPr>
          <w:p w:rsidR="0079434F" w:rsidRPr="00494C85" w:rsidRDefault="00CB4483" w:rsidP="00764176">
            <w:pPr>
              <w:rPr>
                <w:rFonts w:eastAsia="Calibri"/>
              </w:rPr>
            </w:pPr>
            <w:r>
              <w:rPr>
                <w:rFonts w:eastAsia="Calibri"/>
              </w:rPr>
              <w:t>4</w:t>
            </w:r>
          </w:p>
        </w:tc>
        <w:tc>
          <w:tcPr>
            <w:tcW w:w="1260" w:type="dxa"/>
            <w:shd w:val="clear" w:color="auto" w:fill="auto"/>
          </w:tcPr>
          <w:p w:rsidR="0079434F" w:rsidRPr="00494C85" w:rsidRDefault="00CB4483" w:rsidP="00764176">
            <w:pPr>
              <w:rPr>
                <w:rFonts w:eastAsia="Calibri"/>
              </w:rPr>
            </w:pPr>
            <w:r>
              <w:rPr>
                <w:rFonts w:eastAsia="Calibri"/>
              </w:rPr>
              <w:t>85</w:t>
            </w:r>
          </w:p>
        </w:tc>
        <w:tc>
          <w:tcPr>
            <w:tcW w:w="1440" w:type="dxa"/>
            <w:shd w:val="clear" w:color="auto" w:fill="auto"/>
          </w:tcPr>
          <w:p w:rsidR="0079434F" w:rsidRPr="00494C85" w:rsidRDefault="0079434F" w:rsidP="00764176">
            <w:pPr>
              <w:rPr>
                <w:rFonts w:eastAsia="Calibri"/>
              </w:rPr>
            </w:pPr>
            <w:r w:rsidRPr="00494C85">
              <w:rPr>
                <w:rFonts w:eastAsia="Calibri"/>
              </w:rPr>
              <w:t>This program did not require funding.</w:t>
            </w:r>
          </w:p>
        </w:tc>
      </w:tr>
    </w:tbl>
    <w:p w:rsidR="0079434F" w:rsidRDefault="0079434F">
      <w:pPr>
        <w:pStyle w:val="BodyTextIndent"/>
        <w:ind w:left="0"/>
        <w:sectPr w:rsidR="0079434F" w:rsidSect="0079434F">
          <w:pgSz w:w="15840" w:h="12240" w:orient="landscape" w:code="1"/>
          <w:pgMar w:top="1440" w:right="1440" w:bottom="1440" w:left="1440" w:header="720" w:footer="720" w:gutter="0"/>
          <w:cols w:space="720"/>
          <w:titlePg/>
          <w:docGrid w:linePitch="360"/>
        </w:sectPr>
      </w:pPr>
    </w:p>
    <w:p w:rsidR="0072404F" w:rsidRPr="00494C85" w:rsidRDefault="0072404F">
      <w:pPr>
        <w:pStyle w:val="BodyTextIndent"/>
        <w:ind w:left="0"/>
      </w:pPr>
    </w:p>
    <w:p w:rsidR="00494C85" w:rsidRPr="00494C85" w:rsidRDefault="00F34B42">
      <w:pPr>
        <w:pStyle w:val="BodyTextIndent"/>
        <w:ind w:left="0"/>
      </w:pPr>
      <w:r w:rsidRPr="00494C85">
        <w:rPr>
          <w:b/>
        </w:rPr>
        <w:t>F</w:t>
      </w:r>
      <w:r w:rsidR="0072404F" w:rsidRPr="00494C85">
        <w:rPr>
          <w:b/>
        </w:rPr>
        <w:t>inancial/ Budgeting</w:t>
      </w:r>
      <w:r w:rsidR="0072404F" w:rsidRPr="00494C85">
        <w:t xml:space="preserve">: </w:t>
      </w:r>
      <w:r w:rsidR="00494C85">
        <w:t>Our chapter did not require funds for any activity during the 2015-16 academic year. We therefore did not require budget determin</w:t>
      </w:r>
      <w:r w:rsidR="0079434F">
        <w:t xml:space="preserve">ation, approval, or fundraising activities. </w:t>
      </w:r>
      <w:r w:rsidR="00E9652B">
        <w:t>Chapter account information is as follows:</w:t>
      </w:r>
    </w:p>
    <w:p w:rsidR="0072404F" w:rsidRPr="00494C85" w:rsidRDefault="0072404F">
      <w:pPr>
        <w:pStyle w:val="BodyTextIndent"/>
        <w:ind w:left="0"/>
      </w:pPr>
    </w:p>
    <w:tbl>
      <w:tblPr>
        <w:tblW w:w="7560" w:type="dxa"/>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640"/>
        <w:gridCol w:w="1580"/>
        <w:gridCol w:w="1440"/>
        <w:gridCol w:w="1255"/>
      </w:tblGrid>
      <w:tr w:rsidR="002B4E3F" w:rsidRPr="00494C85" w:rsidTr="00975343">
        <w:trPr>
          <w:trHeight w:val="900"/>
        </w:trPr>
        <w:tc>
          <w:tcPr>
            <w:tcW w:w="1645" w:type="dxa"/>
            <w:shd w:val="clear" w:color="5B9BD5" w:fill="5B9BD5"/>
            <w:noWrap/>
            <w:vAlign w:val="bottom"/>
            <w:hideMark/>
          </w:tcPr>
          <w:p w:rsidR="002B4E3F" w:rsidRPr="00494C85" w:rsidRDefault="002B4E3F" w:rsidP="00764176">
            <w:pPr>
              <w:jc w:val="center"/>
              <w:rPr>
                <w:bCs/>
                <w:color w:val="FFFFFF"/>
              </w:rPr>
            </w:pPr>
            <w:r w:rsidRPr="00494C85">
              <w:rPr>
                <w:bCs/>
                <w:color w:val="FFFFFF"/>
              </w:rPr>
              <w:t>ITEM</w:t>
            </w:r>
          </w:p>
        </w:tc>
        <w:tc>
          <w:tcPr>
            <w:tcW w:w="1640" w:type="dxa"/>
            <w:shd w:val="clear" w:color="5B9BD5" w:fill="5B9BD5"/>
            <w:vAlign w:val="bottom"/>
            <w:hideMark/>
          </w:tcPr>
          <w:p w:rsidR="002B4E3F" w:rsidRPr="00494C85" w:rsidRDefault="002B4E3F" w:rsidP="00764176">
            <w:pPr>
              <w:jc w:val="center"/>
              <w:rPr>
                <w:bCs/>
                <w:color w:val="FFFFFF"/>
              </w:rPr>
            </w:pPr>
            <w:r w:rsidRPr="00494C85">
              <w:rPr>
                <w:bCs/>
                <w:color w:val="FFFFFF"/>
              </w:rPr>
              <w:t>Amount Debited        ($$ spent)</w:t>
            </w:r>
          </w:p>
        </w:tc>
        <w:tc>
          <w:tcPr>
            <w:tcW w:w="1580" w:type="dxa"/>
            <w:shd w:val="clear" w:color="5B9BD5" w:fill="5B9BD5"/>
            <w:vAlign w:val="bottom"/>
            <w:hideMark/>
          </w:tcPr>
          <w:p w:rsidR="002B4E3F" w:rsidRPr="00494C85" w:rsidRDefault="002B4E3F" w:rsidP="00764176">
            <w:pPr>
              <w:jc w:val="center"/>
              <w:rPr>
                <w:bCs/>
                <w:color w:val="FFFFFF"/>
              </w:rPr>
            </w:pPr>
            <w:r w:rsidRPr="00494C85">
              <w:rPr>
                <w:bCs/>
                <w:color w:val="FFFFFF"/>
              </w:rPr>
              <w:t>Amount Credited      ($$ raised)</w:t>
            </w:r>
          </w:p>
        </w:tc>
        <w:tc>
          <w:tcPr>
            <w:tcW w:w="1440" w:type="dxa"/>
            <w:shd w:val="clear" w:color="5B9BD5" w:fill="5B9BD5"/>
            <w:vAlign w:val="bottom"/>
            <w:hideMark/>
          </w:tcPr>
          <w:p w:rsidR="002B4E3F" w:rsidRPr="00494C85" w:rsidRDefault="002B4E3F" w:rsidP="00764176">
            <w:pPr>
              <w:jc w:val="center"/>
              <w:rPr>
                <w:bCs/>
                <w:color w:val="FFFFFF"/>
              </w:rPr>
            </w:pPr>
            <w:r w:rsidRPr="00494C85">
              <w:rPr>
                <w:bCs/>
                <w:color w:val="FFFFFF"/>
              </w:rPr>
              <w:t>Balance</w:t>
            </w:r>
          </w:p>
        </w:tc>
        <w:tc>
          <w:tcPr>
            <w:tcW w:w="1255" w:type="dxa"/>
            <w:shd w:val="clear" w:color="5B9BD5" w:fill="5B9BD5"/>
            <w:vAlign w:val="bottom"/>
            <w:hideMark/>
          </w:tcPr>
          <w:p w:rsidR="002B4E3F" w:rsidRPr="00494C85" w:rsidRDefault="002B4E3F" w:rsidP="00764176">
            <w:pPr>
              <w:jc w:val="center"/>
              <w:rPr>
                <w:bCs/>
                <w:color w:val="FFFFFF"/>
              </w:rPr>
            </w:pPr>
            <w:r w:rsidRPr="00494C85">
              <w:rPr>
                <w:bCs/>
                <w:color w:val="FFFFFF"/>
              </w:rPr>
              <w:t>Comment</w:t>
            </w:r>
          </w:p>
        </w:tc>
      </w:tr>
      <w:tr w:rsidR="002B4E3F" w:rsidRPr="00494C85" w:rsidTr="00975343">
        <w:trPr>
          <w:trHeight w:val="300"/>
        </w:trPr>
        <w:tc>
          <w:tcPr>
            <w:tcW w:w="1645" w:type="dxa"/>
            <w:shd w:val="clear" w:color="auto" w:fill="auto"/>
            <w:vAlign w:val="bottom"/>
            <w:hideMark/>
          </w:tcPr>
          <w:p w:rsidR="002B4E3F" w:rsidRPr="00494C85" w:rsidRDefault="002B4E3F" w:rsidP="00764176">
            <w:pPr>
              <w:rPr>
                <w:bCs/>
                <w:color w:val="000000"/>
              </w:rPr>
            </w:pPr>
            <w:r w:rsidRPr="00494C85">
              <w:rPr>
                <w:bCs/>
                <w:color w:val="000000"/>
              </w:rPr>
              <w:t>Balance forward</w:t>
            </w:r>
          </w:p>
        </w:tc>
        <w:tc>
          <w:tcPr>
            <w:tcW w:w="1640" w:type="dxa"/>
            <w:shd w:val="clear" w:color="auto" w:fill="auto"/>
            <w:vAlign w:val="bottom"/>
            <w:hideMark/>
          </w:tcPr>
          <w:p w:rsidR="002B4E3F" w:rsidRPr="00494C85" w:rsidRDefault="002B4E3F" w:rsidP="00764176">
            <w:pPr>
              <w:jc w:val="center"/>
              <w:rPr>
                <w:bCs/>
                <w:color w:val="000000"/>
              </w:rPr>
            </w:pPr>
            <w:r w:rsidRPr="00494C85">
              <w:rPr>
                <w:bCs/>
                <w:color w:val="000000"/>
              </w:rPr>
              <w:t>--</w:t>
            </w:r>
          </w:p>
        </w:tc>
        <w:tc>
          <w:tcPr>
            <w:tcW w:w="1580" w:type="dxa"/>
            <w:shd w:val="clear" w:color="auto" w:fill="auto"/>
            <w:vAlign w:val="bottom"/>
            <w:hideMark/>
          </w:tcPr>
          <w:p w:rsidR="002B4E3F" w:rsidRPr="00494C85" w:rsidRDefault="007557EF" w:rsidP="00764176">
            <w:pPr>
              <w:jc w:val="right"/>
              <w:rPr>
                <w:bCs/>
                <w:color w:val="000000"/>
              </w:rPr>
            </w:pPr>
            <w:r w:rsidRPr="00494C85">
              <w:rPr>
                <w:bCs/>
                <w:color w:val="000000"/>
              </w:rPr>
              <w:t>--</w:t>
            </w:r>
          </w:p>
        </w:tc>
        <w:tc>
          <w:tcPr>
            <w:tcW w:w="1440" w:type="dxa"/>
            <w:shd w:val="clear" w:color="auto" w:fill="auto"/>
            <w:vAlign w:val="bottom"/>
            <w:hideMark/>
          </w:tcPr>
          <w:p w:rsidR="002B4E3F" w:rsidRPr="00494C85" w:rsidRDefault="007557EF" w:rsidP="00764176">
            <w:pPr>
              <w:jc w:val="right"/>
              <w:rPr>
                <w:bCs/>
                <w:color w:val="000000"/>
              </w:rPr>
            </w:pPr>
            <w:r w:rsidRPr="00494C85">
              <w:rPr>
                <w:bCs/>
                <w:color w:val="000000"/>
              </w:rPr>
              <w:t>$550.00</w:t>
            </w:r>
          </w:p>
        </w:tc>
        <w:tc>
          <w:tcPr>
            <w:tcW w:w="1255" w:type="dxa"/>
            <w:shd w:val="clear" w:color="auto" w:fill="auto"/>
            <w:vAlign w:val="bottom"/>
            <w:hideMark/>
          </w:tcPr>
          <w:p w:rsidR="002B4E3F" w:rsidRPr="00494C85" w:rsidRDefault="002B4E3F" w:rsidP="00764176">
            <w:pPr>
              <w:rPr>
                <w:bCs/>
                <w:color w:val="000000"/>
              </w:rPr>
            </w:pPr>
            <w:r w:rsidRPr="00494C85">
              <w:rPr>
                <w:bCs/>
                <w:color w:val="000000"/>
              </w:rPr>
              <w:t>Balance from last year</w:t>
            </w:r>
          </w:p>
        </w:tc>
      </w:tr>
      <w:tr w:rsidR="002B4E3F" w:rsidRPr="00494C85" w:rsidTr="00975343">
        <w:trPr>
          <w:trHeight w:val="300"/>
        </w:trPr>
        <w:tc>
          <w:tcPr>
            <w:tcW w:w="1645" w:type="dxa"/>
            <w:shd w:val="clear" w:color="auto" w:fill="auto"/>
            <w:vAlign w:val="bottom"/>
            <w:hideMark/>
          </w:tcPr>
          <w:p w:rsidR="002B4E3F" w:rsidRPr="00494C85" w:rsidRDefault="002B4E3F" w:rsidP="00764176">
            <w:pPr>
              <w:rPr>
                <w:bCs/>
                <w:color w:val="000000"/>
              </w:rPr>
            </w:pPr>
            <w:r w:rsidRPr="00494C85">
              <w:rPr>
                <w:bCs/>
                <w:color w:val="000000"/>
              </w:rPr>
              <w:t>Member initiation fees</w:t>
            </w:r>
          </w:p>
        </w:tc>
        <w:tc>
          <w:tcPr>
            <w:tcW w:w="1640" w:type="dxa"/>
            <w:shd w:val="clear" w:color="auto" w:fill="auto"/>
            <w:vAlign w:val="bottom"/>
            <w:hideMark/>
          </w:tcPr>
          <w:p w:rsidR="002B4E3F" w:rsidRPr="00494C85" w:rsidRDefault="002B4E3F" w:rsidP="00764176">
            <w:pPr>
              <w:jc w:val="center"/>
              <w:rPr>
                <w:bCs/>
                <w:color w:val="000000"/>
              </w:rPr>
            </w:pPr>
            <w:r w:rsidRPr="00494C85">
              <w:rPr>
                <w:bCs/>
                <w:color w:val="000000"/>
              </w:rPr>
              <w:t>--</w:t>
            </w:r>
          </w:p>
        </w:tc>
        <w:tc>
          <w:tcPr>
            <w:tcW w:w="1580" w:type="dxa"/>
            <w:shd w:val="clear" w:color="auto" w:fill="auto"/>
            <w:vAlign w:val="bottom"/>
            <w:hideMark/>
          </w:tcPr>
          <w:p w:rsidR="002B4E3F" w:rsidRPr="00494C85" w:rsidRDefault="002B4E3F" w:rsidP="00764176">
            <w:pPr>
              <w:jc w:val="right"/>
              <w:rPr>
                <w:bCs/>
                <w:color w:val="000000"/>
              </w:rPr>
            </w:pPr>
            <w:r w:rsidRPr="00494C85">
              <w:rPr>
                <w:bCs/>
                <w:color w:val="000000"/>
              </w:rPr>
              <w:t>$1</w:t>
            </w:r>
            <w:r w:rsidR="007557EF" w:rsidRPr="00494C85">
              <w:rPr>
                <w:bCs/>
                <w:color w:val="000000"/>
              </w:rPr>
              <w:t>60.00</w:t>
            </w:r>
          </w:p>
        </w:tc>
        <w:tc>
          <w:tcPr>
            <w:tcW w:w="1440" w:type="dxa"/>
            <w:shd w:val="clear" w:color="auto" w:fill="auto"/>
            <w:vAlign w:val="bottom"/>
            <w:hideMark/>
          </w:tcPr>
          <w:p w:rsidR="002B4E3F" w:rsidRPr="00494C85" w:rsidRDefault="007557EF" w:rsidP="00764176">
            <w:pPr>
              <w:jc w:val="right"/>
              <w:rPr>
                <w:bCs/>
                <w:color w:val="000000"/>
              </w:rPr>
            </w:pPr>
            <w:r w:rsidRPr="00494C85">
              <w:rPr>
                <w:bCs/>
                <w:color w:val="000000"/>
              </w:rPr>
              <w:t>$710.00</w:t>
            </w:r>
          </w:p>
        </w:tc>
        <w:tc>
          <w:tcPr>
            <w:tcW w:w="1255" w:type="dxa"/>
            <w:shd w:val="clear" w:color="auto" w:fill="auto"/>
            <w:vAlign w:val="bottom"/>
            <w:hideMark/>
          </w:tcPr>
          <w:p w:rsidR="002B4E3F" w:rsidRPr="00494C85" w:rsidRDefault="007557EF" w:rsidP="00764176">
            <w:pPr>
              <w:rPr>
                <w:bCs/>
                <w:color w:val="000000"/>
              </w:rPr>
            </w:pPr>
            <w:r w:rsidRPr="00494C85">
              <w:rPr>
                <w:bCs/>
                <w:color w:val="000000"/>
              </w:rPr>
              <w:t>n/a</w:t>
            </w:r>
          </w:p>
        </w:tc>
      </w:tr>
    </w:tbl>
    <w:p w:rsidR="00826FB4" w:rsidRPr="00494C85" w:rsidRDefault="00826FB4">
      <w:pPr>
        <w:pStyle w:val="BodyTextIndent"/>
        <w:ind w:left="0"/>
        <w:rPr>
          <w:b/>
        </w:rPr>
      </w:pPr>
    </w:p>
    <w:p w:rsidR="007557EF" w:rsidRPr="00494C85" w:rsidRDefault="00826FB4" w:rsidP="00826FB4">
      <w:pPr>
        <w:pStyle w:val="BodyTextIndent"/>
        <w:ind w:left="0"/>
      </w:pPr>
      <w:r w:rsidRPr="007B0C4C">
        <w:rPr>
          <w:b/>
        </w:rPr>
        <w:t>Initiation Function</w:t>
      </w:r>
      <w:r w:rsidRPr="007B0C4C">
        <w:t>:</w:t>
      </w:r>
      <w:r w:rsidRPr="00494C85">
        <w:t xml:space="preserve"> </w:t>
      </w:r>
    </w:p>
    <w:p w:rsidR="007557EF" w:rsidRDefault="007557EF" w:rsidP="00826FB4">
      <w:pPr>
        <w:pStyle w:val="BodyTextIndent"/>
        <w:ind w:left="0"/>
      </w:pPr>
      <w:r w:rsidRPr="00494C85">
        <w:tab/>
        <w:t>Our new member initiation was conducted as part of an Induction Ceremony for both the Rho Chi Society and Phi Lambda Sigma, the Pharmacy Leadership Society. The event was held on campus in the Vandenberg Room of the Michigan League on Monday, September 21st, 2015 at 6:30 pm. Opening remarks were made by the Dean of the College of Pharmacy, James Dalton, BS, PhD. The keynote speaker was Stanley Kent, RPh, MS, Chief Pharmacy Officer of the University of Michigan Health-System, Associate Dean for Clinical Affairs, and Clinical Assistant Professor of Pharmacy, College of Pharmacy. His inspiring speech emphasized the importance of building meaningful relationships with patients, colleagues, and the community throughout one's pharmacy career. Rho Chi faculty adviser Karen Farris, PhD, and Phi Lambda Sigma faculty adviser John Clark, PharmD, MS, facilitated the induction process. The University of Michigan chapter of the Rho Chi Society welcomed 16 students</w:t>
      </w:r>
      <w:r w:rsidR="007B0C4C">
        <w:t xml:space="preserve"> into membership. Rho Chi certificate recipients, Phi Lambda Sigma</w:t>
      </w:r>
      <w:r w:rsidRPr="00494C85">
        <w:t xml:space="preserve"> honorary members,</w:t>
      </w:r>
      <w:r w:rsidR="007B0C4C">
        <w:t xml:space="preserve"> and new initiates, their families, officers, and </w:t>
      </w:r>
      <w:r w:rsidRPr="00494C85">
        <w:t>faculty advisors</w:t>
      </w:r>
      <w:r w:rsidR="007B0C4C">
        <w:t xml:space="preserve"> of both organizations </w:t>
      </w:r>
      <w:r w:rsidRPr="00494C85">
        <w:t>attended the ceremony.</w:t>
      </w:r>
    </w:p>
    <w:p w:rsidR="00975343" w:rsidRDefault="00975343" w:rsidP="00826FB4">
      <w:pPr>
        <w:pStyle w:val="BodyTextIndent"/>
        <w:ind w:left="0"/>
      </w:pPr>
    </w:p>
    <w:p w:rsidR="00975343" w:rsidRDefault="00975343" w:rsidP="00826FB4">
      <w:pPr>
        <w:pStyle w:val="BodyTextIndent"/>
        <w:ind w:left="0"/>
      </w:pPr>
    </w:p>
    <w:p w:rsidR="00975343" w:rsidRPr="00494C85" w:rsidRDefault="00975343" w:rsidP="00826FB4">
      <w:pPr>
        <w:pStyle w:val="BodyTextIndent"/>
        <w:ind w:left="0"/>
      </w:pPr>
    </w:p>
    <w:p w:rsidR="00826FB4" w:rsidRPr="00494C85" w:rsidRDefault="00826FB4" w:rsidP="00826FB4">
      <w:pPr>
        <w:pStyle w:val="BodyTextIndent"/>
        <w:ind w:left="0"/>
      </w:pPr>
    </w:p>
    <w:p w:rsidR="00F749FB" w:rsidRDefault="0072404F" w:rsidP="0079434F">
      <w:pPr>
        <w:pStyle w:val="BodyTextIndent"/>
        <w:ind w:left="0"/>
      </w:pPr>
      <w:r w:rsidRPr="00494C85">
        <w:rPr>
          <w:b/>
        </w:rPr>
        <w:t>Evaluation/Reflection</w:t>
      </w:r>
      <w:r w:rsidRPr="00494C85">
        <w:t xml:space="preserve">: </w:t>
      </w:r>
    </w:p>
    <w:p w:rsidR="006946D1" w:rsidRDefault="006946D1" w:rsidP="0079434F">
      <w:pPr>
        <w:pStyle w:val="BodyTextIndent"/>
        <w:ind w:left="0"/>
      </w:pPr>
    </w:p>
    <w:p w:rsidR="00A01FC6" w:rsidRDefault="005F78E1" w:rsidP="0079434F">
      <w:pPr>
        <w:pStyle w:val="BodyTextIndent"/>
        <w:ind w:left="0"/>
      </w:pPr>
      <w:r>
        <w:tab/>
      </w:r>
      <w:r w:rsidR="007F0228">
        <w:t>The PEERS Tutoring program</w:t>
      </w:r>
      <w:r>
        <w:t xml:space="preserve"> will require </w:t>
      </w:r>
      <w:r w:rsidR="007F0228">
        <w:t xml:space="preserve">significant </w:t>
      </w:r>
      <w:r>
        <w:t>improvements in order to increase its effectiveness.</w:t>
      </w:r>
      <w:r w:rsidR="007F0228">
        <w:t xml:space="preserve"> Student attendance to the tutoring sessions has worsened throughout the program duration, with many sessions having zero attendance. Students have voiced concerns that they do not find the sessions to be helpful due to their short </w:t>
      </w:r>
      <w:r w:rsidR="008F43CA">
        <w:t>duration</w:t>
      </w:r>
      <w:r w:rsidR="007F0228">
        <w:t xml:space="preserve"> and a lack of structure. For these reasons, Rho Chi </w:t>
      </w:r>
      <w:r w:rsidR="00B8332C">
        <w:t>executive board members have had ongoing discussions and a brainstorming session with College administration to strategize program im</w:t>
      </w:r>
      <w:r w:rsidR="007B0C4C">
        <w:t xml:space="preserve">provement; options discussed thus </w:t>
      </w:r>
      <w:r w:rsidR="00B8332C">
        <w:t xml:space="preserve">far include the offering of individual tutoring services, charging </w:t>
      </w:r>
      <w:r w:rsidR="008F43CA">
        <w:t xml:space="preserve">students </w:t>
      </w:r>
      <w:r w:rsidR="00B8332C">
        <w:t>fees to receive these services, financially reimbursing the tutors, and requiring tutors to develop study guides. The new executive committee will be charged with finalizing a decision and imp</w:t>
      </w:r>
      <w:r w:rsidR="008F43CA">
        <w:t xml:space="preserve">lementation of program changes, if not eliminating the program altogether. </w:t>
      </w:r>
    </w:p>
    <w:p w:rsidR="00B8332C" w:rsidRDefault="00B8332C" w:rsidP="0079434F">
      <w:pPr>
        <w:pStyle w:val="BodyTextIndent"/>
        <w:ind w:left="0"/>
      </w:pPr>
    </w:p>
    <w:p w:rsidR="00B8332C" w:rsidRDefault="008F43CA" w:rsidP="0079434F">
      <w:pPr>
        <w:pStyle w:val="BodyTextIndent"/>
        <w:ind w:left="0"/>
      </w:pPr>
      <w:r>
        <w:tab/>
      </w:r>
      <w:r w:rsidR="00B8332C">
        <w:t>The Study Tips event drew in a large audience, so many students were able to derive benefit. The question and answer panel at the end of the presentation was ineffectual, as students did n</w:t>
      </w:r>
      <w:r>
        <w:t>ot ask questions;</w:t>
      </w:r>
      <w:r w:rsidR="00413965">
        <w:t xml:space="preserve"> "planting" questions</w:t>
      </w:r>
      <w:r>
        <w:t xml:space="preserve"> was suggested</w:t>
      </w:r>
      <w:r w:rsidR="00413965">
        <w:t xml:space="preserve"> (i.e., having questions prepared by the panel members/ other </w:t>
      </w:r>
      <w:r w:rsidR="005F78E1">
        <w:t>organizers</w:t>
      </w:r>
      <w:r>
        <w:t>) should this issue recur</w:t>
      </w:r>
      <w:r w:rsidR="00413965">
        <w:t xml:space="preserve">. </w:t>
      </w:r>
    </w:p>
    <w:p w:rsidR="00413965" w:rsidRDefault="00413965" w:rsidP="0079434F">
      <w:pPr>
        <w:pStyle w:val="BodyTextIndent"/>
        <w:ind w:left="0"/>
      </w:pPr>
    </w:p>
    <w:p w:rsidR="00A01FC6" w:rsidRDefault="008F43CA" w:rsidP="0079434F">
      <w:pPr>
        <w:pStyle w:val="BodyTextIndent"/>
        <w:ind w:left="0"/>
      </w:pPr>
      <w:r>
        <w:tab/>
      </w:r>
      <w:r w:rsidR="00413965">
        <w:t xml:space="preserve">The Shadow Program surveys collected electronically after the shadow experience allowed both student and pharmacist participants to confidentially report program areas needing improvement. </w:t>
      </w:r>
      <w:r w:rsidR="000E6CD1">
        <w:t xml:space="preserve">From these surveys, we learned that 1. pharmacy site type descriptions should be verified with the pharmacist before being sent out to their student matches 2. preliminary communications </w:t>
      </w:r>
      <w:r>
        <w:t xml:space="preserve">require further explanation </w:t>
      </w:r>
      <w:r w:rsidR="000E6CD1">
        <w:t xml:space="preserve">that shadow day is a </w:t>
      </w:r>
      <w:r w:rsidR="000E6CD1" w:rsidRPr="008F43CA">
        <w:rPr>
          <w:b/>
        </w:rPr>
        <w:t xml:space="preserve">flexible </w:t>
      </w:r>
      <w:r w:rsidR="000E6CD1">
        <w:t>experience in which the student/</w:t>
      </w:r>
      <w:r w:rsidR="005F78E1">
        <w:t>pharmacist</w:t>
      </w:r>
      <w:r w:rsidR="000E6CD1">
        <w:t xml:space="preserve"> match themselves decide shadow day activities, structure, and length</w:t>
      </w:r>
      <w:r>
        <w:t>, and that there are no specific requirements to be met</w:t>
      </w:r>
      <w:r w:rsidR="000E6CD1">
        <w:t xml:space="preserve"> 3. </w:t>
      </w:r>
      <w:r>
        <w:t xml:space="preserve">preliminary student communications require clarification that they </w:t>
      </w:r>
      <w:r w:rsidR="000E6CD1">
        <w:t>may have to drive up to an hour from the College to get to their shadow site, which is consistent with College policy for rotations</w:t>
      </w:r>
      <w:r w:rsidR="005F78E1">
        <w:t xml:space="preserve">. Overall, the positive feedback we received affirmed the effectiveness of this program in providing students with career exploration opportunities.  </w:t>
      </w:r>
    </w:p>
    <w:p w:rsidR="00A272F8" w:rsidRPr="00494C85" w:rsidRDefault="00A272F8" w:rsidP="00975343">
      <w:pPr>
        <w:pStyle w:val="BodyTextIndent"/>
        <w:ind w:left="0"/>
      </w:pPr>
    </w:p>
    <w:sectPr w:rsidR="00A272F8" w:rsidRPr="00494C85"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8D" w:rsidRDefault="00F8208D">
      <w:r>
        <w:separator/>
      </w:r>
    </w:p>
  </w:endnote>
  <w:endnote w:type="continuationSeparator" w:id="0">
    <w:p w:rsidR="00F8208D" w:rsidRDefault="00F8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76" w:rsidRPr="00C80DE7" w:rsidRDefault="00764176" w:rsidP="00D657C6">
    <w:pPr>
      <w:pStyle w:val="Footer"/>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76" w:rsidRDefault="00764176" w:rsidP="00C80DE7">
    <w:pPr>
      <w:pStyle w:val="Footer"/>
      <w:jc w:val="center"/>
      <w:rPr>
        <w:b/>
        <w:sz w:val="20"/>
        <w:szCs w:val="20"/>
      </w:rPr>
    </w:pPr>
    <w:r w:rsidRPr="007A1B15">
      <w:rPr>
        <w:b/>
        <w:sz w:val="20"/>
        <w:szCs w:val="20"/>
      </w:rPr>
      <w:t xml:space="preserve">The </w:t>
    </w:r>
    <w:smartTag w:uri="urn:schemas-microsoft-com:office:smarttags" w:element="place">
      <w:smartTag w:uri="urn:schemas-microsoft-com:office:smarttags" w:element="City">
        <w:r w:rsidRPr="007A1B15">
          <w:rPr>
            <w:b/>
            <w:sz w:val="20"/>
            <w:szCs w:val="20"/>
          </w:rPr>
          <w:t>Rho</w:t>
        </w:r>
      </w:smartTag>
    </w:smartTag>
    <w:r>
      <w:rPr>
        <w:b/>
        <w:sz w:val="20"/>
        <w:szCs w:val="20"/>
      </w:rPr>
      <w:t xml:space="preserve"> Chi Society</w:t>
    </w:r>
  </w:p>
  <w:p w:rsidR="00764176" w:rsidRPr="007A1B15" w:rsidRDefault="00764176" w:rsidP="00C80DE7">
    <w:pPr>
      <w:pStyle w:val="Footer"/>
      <w:jc w:val="center"/>
      <w:rPr>
        <w:b/>
        <w:sz w:val="20"/>
        <w:szCs w:val="20"/>
      </w:rPr>
    </w:pPr>
    <w:r w:rsidRPr="007A1B15">
      <w:rPr>
        <w:b/>
        <w:sz w:val="20"/>
        <w:szCs w:val="20"/>
      </w:rPr>
      <w:t>National Office</w:t>
    </w:r>
    <w:r>
      <w:rPr>
        <w:b/>
        <w:sz w:val="20"/>
        <w:szCs w:val="20"/>
      </w:rPr>
      <w:t xml:space="preserve"> Contact Information:</w:t>
    </w:r>
  </w:p>
  <w:p w:rsidR="00764176" w:rsidRPr="00C80DE7" w:rsidRDefault="00764176" w:rsidP="00C80DE7">
    <w:pPr>
      <w:pStyle w:val="Footer"/>
      <w:jc w:val="center"/>
      <w:rPr>
        <w:b/>
        <w:sz w:val="20"/>
        <w:szCs w:val="20"/>
        <w:lang w:val="fr-FR"/>
      </w:rPr>
    </w:pPr>
    <w:r w:rsidRPr="00C80DE7">
      <w:rPr>
        <w:b/>
        <w:sz w:val="20"/>
        <w:szCs w:val="20"/>
        <w:lang w:val="fr-FR"/>
      </w:rPr>
      <w:t>Email:  RhoChi@unc.edu</w:t>
    </w:r>
  </w:p>
  <w:p w:rsidR="00764176" w:rsidRPr="00C80DE7" w:rsidRDefault="00764176" w:rsidP="00C80DE7">
    <w:pPr>
      <w:pStyle w:val="Footer"/>
      <w:jc w:val="center"/>
      <w:rPr>
        <w:b/>
        <w:sz w:val="20"/>
        <w:szCs w:val="20"/>
        <w:lang w:val="fr-FR"/>
      </w:rPr>
    </w:pPr>
    <w:r w:rsidRPr="00C80DE7">
      <w:rPr>
        <w:b/>
        <w:sz w:val="20"/>
        <w:szCs w:val="20"/>
        <w:lang w:val="fr-FR"/>
      </w:rPr>
      <w:t>Telephone:  (919) 843-9001</w:t>
    </w:r>
  </w:p>
  <w:p w:rsidR="00764176" w:rsidRPr="00C80DE7" w:rsidRDefault="00764176"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8D" w:rsidRDefault="00F8208D">
      <w:r>
        <w:separator/>
      </w:r>
    </w:p>
  </w:footnote>
  <w:footnote w:type="continuationSeparator" w:id="0">
    <w:p w:rsidR="00F8208D" w:rsidRDefault="00F8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76" w:rsidRDefault="00931F4C" w:rsidP="0072404F">
    <w:pPr>
      <w:pStyle w:val="Header"/>
      <w:framePr w:wrap="around" w:vAnchor="text" w:hAnchor="margin" w:xAlign="right" w:y="1"/>
      <w:rPr>
        <w:rStyle w:val="PageNumber"/>
      </w:rPr>
    </w:pPr>
    <w:r>
      <w:rPr>
        <w:rStyle w:val="PageNumber"/>
      </w:rPr>
      <w:fldChar w:fldCharType="begin"/>
    </w:r>
    <w:r w:rsidR="00764176">
      <w:rPr>
        <w:rStyle w:val="PageNumber"/>
      </w:rPr>
      <w:instrText xml:space="preserve">PAGE  </w:instrText>
    </w:r>
    <w:r>
      <w:rPr>
        <w:rStyle w:val="PageNumber"/>
      </w:rPr>
      <w:fldChar w:fldCharType="end"/>
    </w:r>
  </w:p>
  <w:p w:rsidR="00764176" w:rsidRDefault="00764176"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76" w:rsidRPr="007A1B15" w:rsidRDefault="00764176" w:rsidP="007A1B15">
    <w:pPr>
      <w:pStyle w:val="Header"/>
      <w:ind w:right="360"/>
      <w:rPr>
        <w:b/>
        <w:sz w:val="20"/>
        <w:szCs w:val="20"/>
      </w:rPr>
    </w:pPr>
    <w:r w:rsidRPr="007A1B15">
      <w:rPr>
        <w:b/>
        <w:sz w:val="20"/>
        <w:szCs w:val="20"/>
      </w:rPr>
      <w:t xml:space="preserve">The </w:t>
    </w:r>
    <w:smartTag w:uri="urn:schemas-microsoft-com:office:smarttags" w:element="City">
      <w:smartTag w:uri="urn:schemas-microsoft-com:office:smarttags" w:element="place">
        <w:r w:rsidRPr="007A1B15">
          <w:rPr>
            <w:b/>
            <w:sz w:val="20"/>
            <w:szCs w:val="20"/>
          </w:rPr>
          <w:t>Rho</w:t>
        </w:r>
      </w:smartTag>
    </w:smartTag>
    <w:r w:rsidRPr="007A1B15">
      <w:rPr>
        <w:b/>
        <w:sz w:val="20"/>
        <w:szCs w:val="20"/>
      </w:rPr>
      <w:t xml:space="preserve"> Chi Society</w:t>
    </w:r>
  </w:p>
  <w:p w:rsidR="00764176" w:rsidRPr="007A1B15" w:rsidRDefault="00764176" w:rsidP="007A1B15">
    <w:pPr>
      <w:pStyle w:val="Header"/>
      <w:ind w:right="360"/>
      <w:rPr>
        <w:b/>
        <w:sz w:val="20"/>
        <w:szCs w:val="20"/>
      </w:rPr>
    </w:pPr>
    <w:r w:rsidRPr="007A1B15">
      <w:rPr>
        <w:b/>
        <w:sz w:val="20"/>
        <w:szCs w:val="20"/>
      </w:rPr>
      <w:t xml:space="preserve">Annual Chapter Report </w:t>
    </w:r>
  </w:p>
  <w:p w:rsidR="00764176" w:rsidRDefault="00764176" w:rsidP="007A1B15">
    <w:pPr>
      <w:pStyle w:val="Header"/>
      <w:ind w:right="360"/>
      <w:rPr>
        <w:b/>
        <w:sz w:val="20"/>
        <w:szCs w:val="20"/>
      </w:rPr>
    </w:pPr>
  </w:p>
  <w:p w:rsidR="00764176" w:rsidRPr="007A1B15" w:rsidRDefault="00764176"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76" w:rsidRDefault="002E39E3" w:rsidP="00894460">
    <w:pPr>
      <w:pStyle w:val="Header"/>
      <w:jc w:val="center"/>
      <w:rPr>
        <w:sz w:val="20"/>
      </w:rPr>
    </w:pPr>
    <w:r>
      <w:rPr>
        <w:noProof/>
        <w:sz w:val="20"/>
      </w:rPr>
      <w:drawing>
        <wp:inline distT="0" distB="0" distL="0" distR="0">
          <wp:extent cx="1318260" cy="914400"/>
          <wp:effectExtent l="0" t="0" r="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8260" cy="914400"/>
                  </a:xfrm>
                  <a:prstGeom prst="rect">
                    <a:avLst/>
                  </a:prstGeom>
                  <a:solidFill>
                    <a:srgbClr val="FFFFFF"/>
                  </a:solidFill>
                  <a:ln>
                    <a:noFill/>
                  </a:ln>
                </pic:spPr>
              </pic:pic>
            </a:graphicData>
          </a:graphic>
        </wp:inline>
      </w:drawing>
    </w:r>
  </w:p>
  <w:p w:rsidR="00764176" w:rsidRPr="007A1B15" w:rsidRDefault="00764176"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12B04"/>
    <w:multiLevelType w:val="multilevel"/>
    <w:tmpl w:val="D236E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32CCC"/>
    <w:multiLevelType w:val="hybridMultilevel"/>
    <w:tmpl w:val="0660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3210A"/>
    <w:multiLevelType w:val="multilevel"/>
    <w:tmpl w:val="6DE8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76C9B"/>
    <w:multiLevelType w:val="multilevel"/>
    <w:tmpl w:val="A666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0933BB"/>
    <w:multiLevelType w:val="multilevel"/>
    <w:tmpl w:val="705C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771C7"/>
    <w:multiLevelType w:val="multilevel"/>
    <w:tmpl w:val="5612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03F0F"/>
    <w:rsid w:val="00024CD8"/>
    <w:rsid w:val="000327D6"/>
    <w:rsid w:val="00032A22"/>
    <w:rsid w:val="00045BF9"/>
    <w:rsid w:val="00046F83"/>
    <w:rsid w:val="00056EAC"/>
    <w:rsid w:val="000755F6"/>
    <w:rsid w:val="000C43B0"/>
    <w:rsid w:val="000C6201"/>
    <w:rsid w:val="000D40B6"/>
    <w:rsid w:val="000D73E4"/>
    <w:rsid w:val="000E6CD1"/>
    <w:rsid w:val="001333F1"/>
    <w:rsid w:val="00180CC2"/>
    <w:rsid w:val="001B6D50"/>
    <w:rsid w:val="001C011C"/>
    <w:rsid w:val="001C08EA"/>
    <w:rsid w:val="001C58FC"/>
    <w:rsid w:val="00200FD4"/>
    <w:rsid w:val="002219B7"/>
    <w:rsid w:val="00222D73"/>
    <w:rsid w:val="00223D82"/>
    <w:rsid w:val="00255D18"/>
    <w:rsid w:val="002B4E3F"/>
    <w:rsid w:val="002E39E3"/>
    <w:rsid w:val="002E7D43"/>
    <w:rsid w:val="002F3714"/>
    <w:rsid w:val="00326CD8"/>
    <w:rsid w:val="00344EFF"/>
    <w:rsid w:val="00354E57"/>
    <w:rsid w:val="003C5287"/>
    <w:rsid w:val="003C66FA"/>
    <w:rsid w:val="003E1E95"/>
    <w:rsid w:val="003E6A91"/>
    <w:rsid w:val="00412741"/>
    <w:rsid w:val="00413965"/>
    <w:rsid w:val="00417417"/>
    <w:rsid w:val="00421DAB"/>
    <w:rsid w:val="00472F29"/>
    <w:rsid w:val="004774D6"/>
    <w:rsid w:val="00492C1E"/>
    <w:rsid w:val="004935E0"/>
    <w:rsid w:val="00494C85"/>
    <w:rsid w:val="004B5997"/>
    <w:rsid w:val="004C47C8"/>
    <w:rsid w:val="00504D80"/>
    <w:rsid w:val="005232E9"/>
    <w:rsid w:val="00530A0B"/>
    <w:rsid w:val="00530CB5"/>
    <w:rsid w:val="0053599E"/>
    <w:rsid w:val="00541FC9"/>
    <w:rsid w:val="00553D63"/>
    <w:rsid w:val="00555066"/>
    <w:rsid w:val="00560DD0"/>
    <w:rsid w:val="00577ABD"/>
    <w:rsid w:val="005A5227"/>
    <w:rsid w:val="005C357A"/>
    <w:rsid w:val="005D26EE"/>
    <w:rsid w:val="005D3E4F"/>
    <w:rsid w:val="005D74BA"/>
    <w:rsid w:val="005F3A28"/>
    <w:rsid w:val="005F78E1"/>
    <w:rsid w:val="00616A4A"/>
    <w:rsid w:val="00622D20"/>
    <w:rsid w:val="00636FF2"/>
    <w:rsid w:val="00676DA3"/>
    <w:rsid w:val="00694196"/>
    <w:rsid w:val="006946D1"/>
    <w:rsid w:val="006B0F97"/>
    <w:rsid w:val="006F188B"/>
    <w:rsid w:val="006F764F"/>
    <w:rsid w:val="00703467"/>
    <w:rsid w:val="00715B7D"/>
    <w:rsid w:val="0072404F"/>
    <w:rsid w:val="00735A6A"/>
    <w:rsid w:val="00741034"/>
    <w:rsid w:val="007453FD"/>
    <w:rsid w:val="007557EF"/>
    <w:rsid w:val="00762EEC"/>
    <w:rsid w:val="00764176"/>
    <w:rsid w:val="0079434F"/>
    <w:rsid w:val="007A1B15"/>
    <w:rsid w:val="007B0C4C"/>
    <w:rsid w:val="007B2809"/>
    <w:rsid w:val="007C36FF"/>
    <w:rsid w:val="007C37EA"/>
    <w:rsid w:val="007E3B2C"/>
    <w:rsid w:val="007F0228"/>
    <w:rsid w:val="007F4E59"/>
    <w:rsid w:val="00817578"/>
    <w:rsid w:val="00826FB4"/>
    <w:rsid w:val="00830CB3"/>
    <w:rsid w:val="00847156"/>
    <w:rsid w:val="00856054"/>
    <w:rsid w:val="00894460"/>
    <w:rsid w:val="008A2566"/>
    <w:rsid w:val="008A46A9"/>
    <w:rsid w:val="008B7902"/>
    <w:rsid w:val="008F43CA"/>
    <w:rsid w:val="008F5BBA"/>
    <w:rsid w:val="00924B28"/>
    <w:rsid w:val="00931F4C"/>
    <w:rsid w:val="00937DFF"/>
    <w:rsid w:val="00942B41"/>
    <w:rsid w:val="00975343"/>
    <w:rsid w:val="009A5B1C"/>
    <w:rsid w:val="009A726F"/>
    <w:rsid w:val="009E4185"/>
    <w:rsid w:val="009E769E"/>
    <w:rsid w:val="00A00399"/>
    <w:rsid w:val="00A01FC6"/>
    <w:rsid w:val="00A10937"/>
    <w:rsid w:val="00A11178"/>
    <w:rsid w:val="00A228E2"/>
    <w:rsid w:val="00A22937"/>
    <w:rsid w:val="00A272F8"/>
    <w:rsid w:val="00A522CD"/>
    <w:rsid w:val="00AC6797"/>
    <w:rsid w:val="00AD022E"/>
    <w:rsid w:val="00B2743D"/>
    <w:rsid w:val="00B27469"/>
    <w:rsid w:val="00B34FD4"/>
    <w:rsid w:val="00B40439"/>
    <w:rsid w:val="00B451EF"/>
    <w:rsid w:val="00B77DA8"/>
    <w:rsid w:val="00B81F50"/>
    <w:rsid w:val="00B8332C"/>
    <w:rsid w:val="00B9203D"/>
    <w:rsid w:val="00BC1D1B"/>
    <w:rsid w:val="00BE0603"/>
    <w:rsid w:val="00C0192C"/>
    <w:rsid w:val="00C033A5"/>
    <w:rsid w:val="00C14B7C"/>
    <w:rsid w:val="00C312B5"/>
    <w:rsid w:val="00C5222F"/>
    <w:rsid w:val="00C61B8A"/>
    <w:rsid w:val="00C63D76"/>
    <w:rsid w:val="00C66579"/>
    <w:rsid w:val="00C706C2"/>
    <w:rsid w:val="00C7617B"/>
    <w:rsid w:val="00C80DE7"/>
    <w:rsid w:val="00C91076"/>
    <w:rsid w:val="00CB4483"/>
    <w:rsid w:val="00D03865"/>
    <w:rsid w:val="00D657C6"/>
    <w:rsid w:val="00D81EBB"/>
    <w:rsid w:val="00DC6700"/>
    <w:rsid w:val="00DE0637"/>
    <w:rsid w:val="00DE54F0"/>
    <w:rsid w:val="00E0253D"/>
    <w:rsid w:val="00E05535"/>
    <w:rsid w:val="00E21795"/>
    <w:rsid w:val="00E447D9"/>
    <w:rsid w:val="00E60E82"/>
    <w:rsid w:val="00E6687D"/>
    <w:rsid w:val="00E81C01"/>
    <w:rsid w:val="00E94C64"/>
    <w:rsid w:val="00E9652B"/>
    <w:rsid w:val="00EB3609"/>
    <w:rsid w:val="00ED64D7"/>
    <w:rsid w:val="00EE1C47"/>
    <w:rsid w:val="00EE3BF7"/>
    <w:rsid w:val="00EF73C8"/>
    <w:rsid w:val="00F33EC9"/>
    <w:rsid w:val="00F34B42"/>
    <w:rsid w:val="00F749FB"/>
    <w:rsid w:val="00F75F9F"/>
    <w:rsid w:val="00F8208D"/>
    <w:rsid w:val="00FA4E46"/>
    <w:rsid w:val="00FB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4"/>
    <o:shapelayout v:ext="edit">
      <o:idmap v:ext="edit" data="1"/>
    </o:shapelayout>
  </w:shapeDefaults>
  <w:decimalSymbol w:val="."/>
  <w:listSeparator w:val=","/>
  <w15:docId w15:val="{6486B459-A99A-4504-BF7B-4E235787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8FC"/>
    <w:rPr>
      <w:sz w:val="24"/>
      <w:szCs w:val="24"/>
    </w:rPr>
  </w:style>
  <w:style w:type="paragraph" w:styleId="Heading1">
    <w:name w:val="heading 1"/>
    <w:basedOn w:val="Normal"/>
    <w:next w:val="Normal"/>
    <w:qFormat/>
    <w:rsid w:val="001C58FC"/>
    <w:pPr>
      <w:keepNext/>
      <w:jc w:val="center"/>
      <w:outlineLvl w:val="0"/>
    </w:pPr>
    <w:rPr>
      <w:b/>
      <w:bCs/>
    </w:rPr>
  </w:style>
  <w:style w:type="paragraph" w:styleId="Heading2">
    <w:name w:val="heading 2"/>
    <w:basedOn w:val="Normal"/>
    <w:next w:val="Normal"/>
    <w:qFormat/>
    <w:rsid w:val="001C58F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58FC"/>
    <w:pPr>
      <w:jc w:val="center"/>
    </w:pPr>
    <w:rPr>
      <w:b/>
      <w:bCs/>
      <w:sz w:val="28"/>
    </w:rPr>
  </w:style>
  <w:style w:type="paragraph" w:styleId="Subtitle">
    <w:name w:val="Subtitle"/>
    <w:basedOn w:val="Normal"/>
    <w:qFormat/>
    <w:rsid w:val="001C58FC"/>
    <w:rPr>
      <w:b/>
      <w:bCs/>
      <w:sz w:val="28"/>
    </w:rPr>
  </w:style>
  <w:style w:type="paragraph" w:styleId="BodyTextIndent">
    <w:name w:val="Body Text Indent"/>
    <w:basedOn w:val="Normal"/>
    <w:rsid w:val="001C58FC"/>
    <w:pPr>
      <w:ind w:left="720"/>
    </w:pPr>
  </w:style>
  <w:style w:type="paragraph" w:styleId="BodyTextIndent2">
    <w:name w:val="Body Text Indent 2"/>
    <w:basedOn w:val="Normal"/>
    <w:rsid w:val="001C58FC"/>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paragraph" w:styleId="ListParagraph">
    <w:name w:val="List Paragraph"/>
    <w:basedOn w:val="Normal"/>
    <w:uiPriority w:val="34"/>
    <w:qFormat/>
    <w:rsid w:val="002B4E3F"/>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E05535"/>
  </w:style>
  <w:style w:type="paragraph" w:styleId="NormalWeb">
    <w:name w:val="Normal (Web)"/>
    <w:basedOn w:val="Normal"/>
    <w:uiPriority w:val="99"/>
    <w:unhideWhenUsed/>
    <w:rsid w:val="000C43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817722165">
      <w:bodyDiv w:val="1"/>
      <w:marLeft w:val="0"/>
      <w:marRight w:val="0"/>
      <w:marTop w:val="0"/>
      <w:marBottom w:val="0"/>
      <w:divBdr>
        <w:top w:val="none" w:sz="0" w:space="0" w:color="auto"/>
        <w:left w:val="none" w:sz="0" w:space="0" w:color="auto"/>
        <w:bottom w:val="none" w:sz="0" w:space="0" w:color="auto"/>
        <w:right w:val="none" w:sz="0" w:space="0" w:color="auto"/>
      </w:divBdr>
    </w:div>
    <w:div w:id="871652408">
      <w:bodyDiv w:val="1"/>
      <w:marLeft w:val="0"/>
      <w:marRight w:val="0"/>
      <w:marTop w:val="0"/>
      <w:marBottom w:val="0"/>
      <w:divBdr>
        <w:top w:val="none" w:sz="0" w:space="0" w:color="auto"/>
        <w:left w:val="none" w:sz="0" w:space="0" w:color="auto"/>
        <w:bottom w:val="none" w:sz="0" w:space="0" w:color="auto"/>
        <w:right w:val="none" w:sz="0" w:space="0" w:color="auto"/>
      </w:divBdr>
    </w:div>
    <w:div w:id="1156994714">
      <w:bodyDiv w:val="1"/>
      <w:marLeft w:val="0"/>
      <w:marRight w:val="0"/>
      <w:marTop w:val="0"/>
      <w:marBottom w:val="0"/>
      <w:divBdr>
        <w:top w:val="none" w:sz="0" w:space="0" w:color="auto"/>
        <w:left w:val="none" w:sz="0" w:space="0" w:color="auto"/>
        <w:bottom w:val="none" w:sz="0" w:space="0" w:color="auto"/>
        <w:right w:val="none" w:sz="0" w:space="0" w:color="auto"/>
      </w:divBdr>
    </w:div>
    <w:div w:id="1384718580">
      <w:bodyDiv w:val="1"/>
      <w:marLeft w:val="0"/>
      <w:marRight w:val="0"/>
      <w:marTop w:val="0"/>
      <w:marBottom w:val="0"/>
      <w:divBdr>
        <w:top w:val="none" w:sz="0" w:space="0" w:color="auto"/>
        <w:left w:val="none" w:sz="0" w:space="0" w:color="auto"/>
        <w:bottom w:val="none" w:sz="0" w:space="0" w:color="auto"/>
        <w:right w:val="none" w:sz="0" w:space="0" w:color="auto"/>
      </w:divBdr>
      <w:divsChild>
        <w:div w:id="10382600">
          <w:marLeft w:val="0"/>
          <w:marRight w:val="0"/>
          <w:marTop w:val="0"/>
          <w:marBottom w:val="0"/>
          <w:divBdr>
            <w:top w:val="none" w:sz="0" w:space="0" w:color="auto"/>
            <w:left w:val="none" w:sz="0" w:space="0" w:color="auto"/>
            <w:bottom w:val="none" w:sz="0" w:space="0" w:color="auto"/>
            <w:right w:val="none" w:sz="0" w:space="0" w:color="auto"/>
          </w:divBdr>
          <w:divsChild>
            <w:div w:id="188880048">
              <w:marLeft w:val="0"/>
              <w:marRight w:val="0"/>
              <w:marTop w:val="0"/>
              <w:marBottom w:val="0"/>
              <w:divBdr>
                <w:top w:val="none" w:sz="0" w:space="0" w:color="auto"/>
                <w:left w:val="none" w:sz="0" w:space="0" w:color="auto"/>
                <w:bottom w:val="none" w:sz="0" w:space="0" w:color="auto"/>
                <w:right w:val="none" w:sz="0" w:space="0" w:color="auto"/>
              </w:divBdr>
            </w:div>
            <w:div w:id="1115902388">
              <w:marLeft w:val="0"/>
              <w:marRight w:val="0"/>
              <w:marTop w:val="0"/>
              <w:marBottom w:val="0"/>
              <w:divBdr>
                <w:top w:val="none" w:sz="0" w:space="0" w:color="auto"/>
                <w:left w:val="none" w:sz="0" w:space="0" w:color="auto"/>
                <w:bottom w:val="none" w:sz="0" w:space="0" w:color="auto"/>
                <w:right w:val="none" w:sz="0" w:space="0" w:color="auto"/>
              </w:divBdr>
            </w:div>
            <w:div w:id="2107068920">
              <w:marLeft w:val="0"/>
              <w:marRight w:val="0"/>
              <w:marTop w:val="0"/>
              <w:marBottom w:val="0"/>
              <w:divBdr>
                <w:top w:val="none" w:sz="0" w:space="0" w:color="auto"/>
                <w:left w:val="none" w:sz="0" w:space="0" w:color="auto"/>
                <w:bottom w:val="none" w:sz="0" w:space="0" w:color="auto"/>
                <w:right w:val="none" w:sz="0" w:space="0" w:color="auto"/>
              </w:divBdr>
            </w:div>
            <w:div w:id="995917389">
              <w:marLeft w:val="0"/>
              <w:marRight w:val="0"/>
              <w:marTop w:val="0"/>
              <w:marBottom w:val="0"/>
              <w:divBdr>
                <w:top w:val="none" w:sz="0" w:space="0" w:color="auto"/>
                <w:left w:val="none" w:sz="0" w:space="0" w:color="auto"/>
                <w:bottom w:val="none" w:sz="0" w:space="0" w:color="auto"/>
                <w:right w:val="none" w:sz="0" w:space="0" w:color="auto"/>
              </w:divBdr>
            </w:div>
          </w:divsChild>
        </w:div>
        <w:div w:id="1517580278">
          <w:marLeft w:val="0"/>
          <w:marRight w:val="0"/>
          <w:marTop w:val="0"/>
          <w:marBottom w:val="0"/>
          <w:divBdr>
            <w:top w:val="none" w:sz="0" w:space="0" w:color="auto"/>
            <w:left w:val="none" w:sz="0" w:space="0" w:color="auto"/>
            <w:bottom w:val="none" w:sz="0" w:space="0" w:color="auto"/>
            <w:right w:val="none" w:sz="0" w:space="0" w:color="auto"/>
          </w:divBdr>
        </w:div>
      </w:divsChild>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1686</Words>
  <Characters>9611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cp:lastModifiedBy>Moriarty, Gail R</cp:lastModifiedBy>
  <cp:revision>2</cp:revision>
  <cp:lastPrinted>2014-09-12T13:44:00Z</cp:lastPrinted>
  <dcterms:created xsi:type="dcterms:W3CDTF">2016-04-21T13:40:00Z</dcterms:created>
  <dcterms:modified xsi:type="dcterms:W3CDTF">2016-04-21T13:40:00Z</dcterms:modified>
</cp:coreProperties>
</file>