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270C2A5" w14:textId="77777777" w:rsidR="00A23329" w:rsidRDefault="00A24865">
      <w:pPr>
        <w:pStyle w:val="Title"/>
      </w:pPr>
      <w:bookmarkStart w:id="0" w:name="_GoBack"/>
      <w:bookmarkEnd w:id="0"/>
      <w:r>
        <w:t xml:space="preserve"> Annual Chapter Report – 2016-2017</w:t>
      </w:r>
    </w:p>
    <w:p w14:paraId="0AE7E33A" w14:textId="77777777" w:rsidR="00A23329" w:rsidRDefault="00A23329">
      <w:pPr>
        <w:pStyle w:val="Normal1"/>
        <w:jc w:val="center"/>
      </w:pPr>
    </w:p>
    <w:p w14:paraId="7D04CCC8" w14:textId="77777777" w:rsidR="00A23329" w:rsidRDefault="00A24865">
      <w:pPr>
        <w:pStyle w:val="Subtitle"/>
        <w:rPr>
          <w:b w:val="0"/>
          <w:sz w:val="24"/>
          <w:szCs w:val="24"/>
        </w:rPr>
      </w:pPr>
      <w:r>
        <w:rPr>
          <w:sz w:val="24"/>
          <w:szCs w:val="24"/>
        </w:rPr>
        <w:t>Date of report submission</w:t>
      </w:r>
      <w:r>
        <w:rPr>
          <w:b w:val="0"/>
          <w:sz w:val="24"/>
          <w:szCs w:val="24"/>
        </w:rPr>
        <w:t>: 5/11/17</w:t>
      </w:r>
    </w:p>
    <w:p w14:paraId="3C311502" w14:textId="77777777" w:rsidR="00A23329" w:rsidRDefault="00A24865">
      <w:pPr>
        <w:pStyle w:val="Normal1"/>
      </w:pPr>
      <w:r>
        <w:rPr>
          <w:b/>
        </w:rPr>
        <w:t>Name of School/College</w:t>
      </w:r>
      <w:r>
        <w:t>: University of California, San Francisco</w:t>
      </w:r>
    </w:p>
    <w:p w14:paraId="41FFCD69" w14:textId="77777777" w:rsidR="00A23329" w:rsidRDefault="00A24865">
      <w:pPr>
        <w:pStyle w:val="Normal1"/>
      </w:pPr>
      <w:r>
        <w:rPr>
          <w:b/>
        </w:rPr>
        <w:t xml:space="preserve">Chapter name and region: </w:t>
      </w:r>
      <w:r>
        <w:t>Alpha Lambda - Region VIII - West Coast</w:t>
      </w:r>
    </w:p>
    <w:p w14:paraId="0D780D43" w14:textId="77777777" w:rsidR="00A23329" w:rsidRDefault="00A24865">
      <w:pPr>
        <w:pStyle w:val="Normal1"/>
      </w:pPr>
      <w:r>
        <w:rPr>
          <w:b/>
        </w:rPr>
        <w:t>Chapter advisor’s name and e-mail address</w:t>
      </w:r>
      <w:r>
        <w:t>: Conan MacDougall - macdougallc@pharmacy.ucsf.edu</w:t>
      </w:r>
    </w:p>
    <w:p w14:paraId="51A18E31" w14:textId="77777777" w:rsidR="00A23329" w:rsidRDefault="00A23329">
      <w:pPr>
        <w:pStyle w:val="Normal1"/>
      </w:pPr>
    </w:p>
    <w:p w14:paraId="3DD8D940" w14:textId="77777777" w:rsidR="00A23329" w:rsidRDefault="00A24865">
      <w:pPr>
        <w:pStyle w:val="Normal1"/>
      </w:pPr>
      <w:r>
        <w:rPr>
          <w:b/>
        </w:rPr>
        <w:t>Delegate who attended the Rho Chi Annual Meeting:</w:t>
      </w:r>
      <w:r>
        <w:t xml:space="preserve"> James Go</w:t>
      </w:r>
    </w:p>
    <w:p w14:paraId="431331DC" w14:textId="77777777" w:rsidR="00A23329" w:rsidRDefault="00A24865">
      <w:pPr>
        <w:pStyle w:val="Normal1"/>
      </w:pPr>
      <w:r>
        <w:rPr>
          <w:b/>
        </w:rPr>
        <w:t>Date delegate’s name submitted to Rho Chi:</w:t>
      </w:r>
      <w:r>
        <w:t xml:space="preserve"> 2/1/17</w:t>
      </w:r>
    </w:p>
    <w:p w14:paraId="526C94F2" w14:textId="77777777" w:rsidR="00A23329" w:rsidRDefault="00A23329">
      <w:pPr>
        <w:pStyle w:val="Normal1"/>
      </w:pPr>
    </w:p>
    <w:p w14:paraId="2A9AE174" w14:textId="77777777" w:rsidR="00A23329" w:rsidRDefault="00A24865">
      <w:pPr>
        <w:pStyle w:val="Normal1"/>
        <w:rPr>
          <w:u w:val="single"/>
        </w:rPr>
      </w:pPr>
      <w:r>
        <w:rPr>
          <w:u w:val="single"/>
        </w:rPr>
        <w:t>Past year’s officers and e-mail addresses:</w:t>
      </w:r>
    </w:p>
    <w:p w14:paraId="12C7FB4E" w14:textId="77777777" w:rsidR="00A23329" w:rsidRDefault="00A24865">
      <w:pPr>
        <w:pStyle w:val="Normal1"/>
      </w:pPr>
      <w:r>
        <w:rPr>
          <w:b/>
        </w:rPr>
        <w:t xml:space="preserve">President: </w:t>
      </w:r>
      <w:r>
        <w:t>James Go - James.Go@ucsf.edu</w:t>
      </w:r>
    </w:p>
    <w:p w14:paraId="1D00A2D9" w14:textId="77777777" w:rsidR="00A23329" w:rsidRDefault="00A24865">
      <w:pPr>
        <w:pStyle w:val="Normal1"/>
      </w:pPr>
      <w:r>
        <w:rPr>
          <w:b/>
        </w:rPr>
        <w:t xml:space="preserve">Vice President: </w:t>
      </w:r>
      <w:r>
        <w:t>Jeffrey Morimune - Jeffrey.Morimune@ucsf.edu</w:t>
      </w:r>
    </w:p>
    <w:p w14:paraId="3C742B8F" w14:textId="77777777" w:rsidR="00A23329" w:rsidRDefault="00A24865">
      <w:pPr>
        <w:pStyle w:val="Normal1"/>
      </w:pPr>
      <w:r>
        <w:rPr>
          <w:b/>
        </w:rPr>
        <w:t xml:space="preserve">Secretary: </w:t>
      </w:r>
      <w:r>
        <w:t>Grace Joy Kim - gracejoykim@ucsf.edu</w:t>
      </w:r>
    </w:p>
    <w:p w14:paraId="4FB7E6CA" w14:textId="77777777" w:rsidR="00A23329" w:rsidRDefault="00A24865">
      <w:pPr>
        <w:pStyle w:val="Normal1"/>
      </w:pPr>
      <w:r>
        <w:rPr>
          <w:b/>
        </w:rPr>
        <w:t xml:space="preserve">Treasurer: </w:t>
      </w:r>
      <w:r>
        <w:t>Riti Gupta - Riti.Gupta@ucsf.edu</w:t>
      </w:r>
    </w:p>
    <w:p w14:paraId="5D1DA50E" w14:textId="77777777" w:rsidR="00A23329" w:rsidRDefault="00A24865">
      <w:pPr>
        <w:pStyle w:val="Normal1"/>
      </w:pPr>
      <w:r>
        <w:rPr>
          <w:b/>
        </w:rPr>
        <w:t xml:space="preserve">Historian: </w:t>
      </w:r>
      <w:r>
        <w:t xml:space="preserve">Eric Dressler - Eric.Dressler@ucsf.edu </w:t>
      </w:r>
    </w:p>
    <w:p w14:paraId="5551E379" w14:textId="77777777" w:rsidR="00A23329" w:rsidRDefault="00A23329">
      <w:pPr>
        <w:pStyle w:val="Normal1"/>
      </w:pPr>
    </w:p>
    <w:p w14:paraId="41908D8C" w14:textId="77777777" w:rsidR="00A23329" w:rsidRDefault="00A24865">
      <w:pPr>
        <w:pStyle w:val="Normal1"/>
        <w:rPr>
          <w:u w:val="single"/>
        </w:rPr>
      </w:pPr>
      <w:r>
        <w:rPr>
          <w:u w:val="single"/>
        </w:rPr>
        <w:t>New officers and e-mail addresses for next academic year:</w:t>
      </w:r>
    </w:p>
    <w:p w14:paraId="6192FF9C" w14:textId="77777777" w:rsidR="00A23329" w:rsidRDefault="00A24865">
      <w:pPr>
        <w:pStyle w:val="Normal1"/>
      </w:pPr>
      <w:r>
        <w:rPr>
          <w:b/>
        </w:rPr>
        <w:t xml:space="preserve">President: </w:t>
      </w:r>
      <w:r>
        <w:t>Raymond Lee - RLee@ucsf.edu</w:t>
      </w:r>
    </w:p>
    <w:p w14:paraId="5F64F603" w14:textId="77777777" w:rsidR="00A23329" w:rsidRDefault="00A24865">
      <w:pPr>
        <w:pStyle w:val="Normal1"/>
      </w:pPr>
      <w:r>
        <w:rPr>
          <w:b/>
        </w:rPr>
        <w:t xml:space="preserve">Vice President: </w:t>
      </w:r>
      <w:r>
        <w:t>William Martin - William.Martin@ucsf.edu</w:t>
      </w:r>
    </w:p>
    <w:p w14:paraId="3F3EB1F9" w14:textId="77777777" w:rsidR="00A23329" w:rsidRDefault="00A24865">
      <w:pPr>
        <w:pStyle w:val="Normal1"/>
      </w:pPr>
      <w:r>
        <w:rPr>
          <w:b/>
        </w:rPr>
        <w:t xml:space="preserve">Secretary: </w:t>
      </w:r>
      <w:r>
        <w:t>Kay Takamura - Kay.Takamura@ucsf.edu</w:t>
      </w:r>
    </w:p>
    <w:p w14:paraId="633E71F9" w14:textId="77777777" w:rsidR="00A23329" w:rsidRDefault="00A24865">
      <w:pPr>
        <w:pStyle w:val="Normal1"/>
      </w:pPr>
      <w:r>
        <w:rPr>
          <w:b/>
        </w:rPr>
        <w:t xml:space="preserve">Treasurer: </w:t>
      </w:r>
      <w:r>
        <w:t>Edna Miao - Edna.Miao@ucsf.edu</w:t>
      </w:r>
    </w:p>
    <w:p w14:paraId="6DA75976" w14:textId="77777777" w:rsidR="00A23329" w:rsidRDefault="00A24865">
      <w:pPr>
        <w:pStyle w:val="Normal1"/>
      </w:pPr>
      <w:r>
        <w:rPr>
          <w:b/>
        </w:rPr>
        <w:t xml:space="preserve">Historian: </w:t>
      </w:r>
      <w:r>
        <w:t>Karla Basto-Herrera - Karla.Basto-herrera@ucsf.edu</w:t>
      </w:r>
    </w:p>
    <w:p w14:paraId="481FF54F" w14:textId="77777777" w:rsidR="00A23329" w:rsidRDefault="00A23329">
      <w:pPr>
        <w:pStyle w:val="Normal1"/>
      </w:pPr>
    </w:p>
    <w:p w14:paraId="0D12B1D7" w14:textId="77777777" w:rsidR="00A23329" w:rsidRDefault="00A24865">
      <w:pPr>
        <w:pStyle w:val="Normal1"/>
      </w:pPr>
      <w:r>
        <w:t>Number of Rho Chi student members at college or school, listed by class year and program (and by campus if more than one campus):</w:t>
      </w:r>
    </w:p>
    <w:p w14:paraId="213D4C4A" w14:textId="77777777" w:rsidR="00A23329" w:rsidRDefault="00A24865">
      <w:pPr>
        <w:pStyle w:val="Normal1"/>
      </w:pPr>
      <w:r>
        <w:t>Class of 2017: 24</w:t>
      </w:r>
    </w:p>
    <w:p w14:paraId="47A47BCA" w14:textId="77777777" w:rsidR="00A23329" w:rsidRDefault="00A24865">
      <w:pPr>
        <w:pStyle w:val="Normal1"/>
      </w:pPr>
      <w:r>
        <w:t>Class of 2018: 14</w:t>
      </w:r>
    </w:p>
    <w:p w14:paraId="0C2DC41C" w14:textId="77777777" w:rsidR="00A23329" w:rsidRDefault="00A23329">
      <w:pPr>
        <w:pStyle w:val="Normal1"/>
      </w:pPr>
    </w:p>
    <w:p w14:paraId="52C923D6" w14:textId="77777777" w:rsidR="00A23329" w:rsidRDefault="00A24865">
      <w:pPr>
        <w:pStyle w:val="Normal1"/>
        <w:ind w:left="1170" w:hanging="1170"/>
      </w:pPr>
      <w:r>
        <w:rPr>
          <w:b/>
        </w:rPr>
        <w:t>Meetings:</w:t>
      </w:r>
    </w:p>
    <w:p w14:paraId="0970B564" w14:textId="77777777" w:rsidR="00A23329" w:rsidRDefault="00A23329">
      <w:pPr>
        <w:pStyle w:val="Normal1"/>
        <w:ind w:left="900" w:hanging="900"/>
      </w:pP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0"/>
        <w:gridCol w:w="1470"/>
        <w:gridCol w:w="2745"/>
        <w:gridCol w:w="3825"/>
      </w:tblGrid>
      <w:tr w:rsidR="00A23329" w14:paraId="24917E77" w14:textId="77777777">
        <w:tc>
          <w:tcPr>
            <w:tcW w:w="1320" w:type="dxa"/>
          </w:tcPr>
          <w:p w14:paraId="43EB7F57" w14:textId="77777777" w:rsidR="00A23329" w:rsidRDefault="00A24865">
            <w:pPr>
              <w:pStyle w:val="Normal1"/>
            </w:pPr>
            <w:r>
              <w:t>Date</w:t>
            </w:r>
          </w:p>
        </w:tc>
        <w:tc>
          <w:tcPr>
            <w:tcW w:w="1470" w:type="dxa"/>
          </w:tcPr>
          <w:p w14:paraId="3C81076B" w14:textId="77777777" w:rsidR="00A23329" w:rsidRDefault="00A24865">
            <w:pPr>
              <w:pStyle w:val="Normal1"/>
            </w:pPr>
            <w:r>
              <w:t>Attendance</w:t>
            </w:r>
          </w:p>
        </w:tc>
        <w:tc>
          <w:tcPr>
            <w:tcW w:w="2745" w:type="dxa"/>
          </w:tcPr>
          <w:p w14:paraId="3D067368" w14:textId="77777777" w:rsidR="00A23329" w:rsidRDefault="00A24865">
            <w:pPr>
              <w:pStyle w:val="Normal1"/>
            </w:pPr>
            <w:r>
              <w:t>Agenda</w:t>
            </w:r>
          </w:p>
        </w:tc>
        <w:tc>
          <w:tcPr>
            <w:tcW w:w="3825" w:type="dxa"/>
          </w:tcPr>
          <w:p w14:paraId="3B8626F6" w14:textId="77777777" w:rsidR="00A23329" w:rsidRDefault="00A24865">
            <w:pPr>
              <w:pStyle w:val="Normal1"/>
            </w:pPr>
            <w:r>
              <w:t>Action Steps</w:t>
            </w:r>
          </w:p>
        </w:tc>
      </w:tr>
      <w:tr w:rsidR="00A23329" w14:paraId="0F401763" w14:textId="77777777">
        <w:tc>
          <w:tcPr>
            <w:tcW w:w="1320" w:type="dxa"/>
          </w:tcPr>
          <w:p w14:paraId="7CAD5F90" w14:textId="77777777" w:rsidR="00A23329" w:rsidRDefault="00A24865">
            <w:pPr>
              <w:pStyle w:val="Normal1"/>
            </w:pPr>
            <w:r>
              <w:t>10/18/16</w:t>
            </w:r>
          </w:p>
        </w:tc>
        <w:tc>
          <w:tcPr>
            <w:tcW w:w="1470" w:type="dxa"/>
          </w:tcPr>
          <w:p w14:paraId="22380A54" w14:textId="77777777" w:rsidR="00A23329" w:rsidRDefault="00A24865">
            <w:pPr>
              <w:pStyle w:val="Normal1"/>
            </w:pPr>
            <w:r>
              <w:t>5</w:t>
            </w:r>
          </w:p>
        </w:tc>
        <w:tc>
          <w:tcPr>
            <w:tcW w:w="2745" w:type="dxa"/>
          </w:tcPr>
          <w:p w14:paraId="5AF10B76" w14:textId="77777777" w:rsidR="00A23329" w:rsidRDefault="00A24865">
            <w:pPr>
              <w:pStyle w:val="Normal1"/>
            </w:pPr>
            <w:r>
              <w:t xml:space="preserve">Meeting of new board members to discuss transition into new positions </w:t>
            </w:r>
          </w:p>
        </w:tc>
        <w:tc>
          <w:tcPr>
            <w:tcW w:w="3825" w:type="dxa"/>
          </w:tcPr>
          <w:p w14:paraId="6C518AA0" w14:textId="77777777" w:rsidR="00A23329" w:rsidRDefault="00A24865">
            <w:pPr>
              <w:pStyle w:val="Normal1"/>
            </w:pPr>
            <w:r>
              <w:t>Successfully discussed our leadership positions and brainstormed ideas for events, setting up tentative dates and descriptions of activities.</w:t>
            </w:r>
          </w:p>
        </w:tc>
      </w:tr>
      <w:tr w:rsidR="00A23329" w14:paraId="01E25630" w14:textId="77777777">
        <w:tc>
          <w:tcPr>
            <w:tcW w:w="1320" w:type="dxa"/>
          </w:tcPr>
          <w:p w14:paraId="28CDDCCD" w14:textId="77777777" w:rsidR="00A23329" w:rsidRDefault="00A24865">
            <w:pPr>
              <w:pStyle w:val="Normal1"/>
            </w:pPr>
            <w:r>
              <w:t>3/9/17</w:t>
            </w:r>
          </w:p>
        </w:tc>
        <w:tc>
          <w:tcPr>
            <w:tcW w:w="1470" w:type="dxa"/>
          </w:tcPr>
          <w:p w14:paraId="7C9C61E9" w14:textId="77777777" w:rsidR="00A23329" w:rsidRDefault="00A24865">
            <w:pPr>
              <w:pStyle w:val="Normal1"/>
            </w:pPr>
            <w:r>
              <w:t>5</w:t>
            </w:r>
          </w:p>
        </w:tc>
        <w:tc>
          <w:tcPr>
            <w:tcW w:w="2745" w:type="dxa"/>
          </w:tcPr>
          <w:p w14:paraId="166525C0" w14:textId="77777777" w:rsidR="00A23329" w:rsidRDefault="00A24865">
            <w:pPr>
              <w:pStyle w:val="Normal1"/>
            </w:pPr>
            <w:r>
              <w:t>End of the year review of activities and events</w:t>
            </w:r>
          </w:p>
        </w:tc>
        <w:tc>
          <w:tcPr>
            <w:tcW w:w="3825" w:type="dxa"/>
          </w:tcPr>
          <w:p w14:paraId="41660533" w14:textId="77777777" w:rsidR="00A23329" w:rsidRDefault="00A24865">
            <w:pPr>
              <w:pStyle w:val="Normal1"/>
            </w:pPr>
            <w:r>
              <w:t>Discussed success of activities held this year, and discussed potential improvements for next year’s activities and events. Among them a larger meet and greet with other classes (not just P1), and suggestions for this year’s upcoming Initiation Dinner.</w:t>
            </w:r>
          </w:p>
        </w:tc>
      </w:tr>
    </w:tbl>
    <w:p w14:paraId="63112F0D" w14:textId="77777777" w:rsidR="00A23329" w:rsidRDefault="00A23329">
      <w:pPr>
        <w:pStyle w:val="Normal1"/>
      </w:pPr>
    </w:p>
    <w:p w14:paraId="2546E7BC" w14:textId="77777777" w:rsidR="00A23329" w:rsidRDefault="00A24865">
      <w:pPr>
        <w:pStyle w:val="Normal1"/>
        <w:ind w:left="2250" w:hanging="2250"/>
      </w:pPr>
      <w:r>
        <w:rPr>
          <w:b/>
        </w:rPr>
        <w:t>Strategic Planning:</w:t>
      </w:r>
    </w:p>
    <w:p w14:paraId="2C34D1E4" w14:textId="77777777" w:rsidR="00A23329" w:rsidRDefault="00A24865">
      <w:pPr>
        <w:pStyle w:val="Normal1"/>
        <w:ind w:firstLine="720"/>
      </w:pPr>
      <w:r>
        <w:t>The Alpha Lambda chapter of Rho Chi set out to accomplish two principal goals: (1) to become more involved in the student community at the University of California – San Francisco (UCSF) and (2) to increase the visibility of our chapter. In order to accomplish these goals, we allowed for the installation of the new cabinet to occur immediately after elections and scheduled a new cabinet meeting within the first month of initiation. This change allowed the new officers and members to organize and volunteer at Rho Chi events while they were still completing didactics on campus.</w:t>
      </w:r>
    </w:p>
    <w:p w14:paraId="0164F352" w14:textId="77777777" w:rsidR="00A23329" w:rsidRDefault="00A24865">
      <w:pPr>
        <w:pStyle w:val="Normal1"/>
        <w:ind w:firstLine="720"/>
      </w:pPr>
      <w:r>
        <w:t xml:space="preserve">With better availability, Rho Chi was looking to implement activities that were in line with our primary missions of providing academic support and promoting academic excellence, and that also represented the vibrant personality and mentorship of our organization. By collaborating with faculty, we were able to identify areas that we could contribute to. The final biopharmaceutical sciences course on pharmacodynamics and pharmacokinetics takes place fall of P2 year and is foundation for therapeutics courses, however, it is often found to be a difficult for many students. We decided to hold a review session before the final exam, with a primary focus on the new material for the exam. We also held a mock patient presentation workshop for the P2’s in the winter prior to their first therapeutics OSCE. For the P1 class, we decided to hold a meet and greet where P1’s got to meet and talk with the new members and cabinet in a relaxed setting. This allowed the first years to get to know our members at a more personal level, and encourage a sense of community, mentorship and friendship. We wanted to change the mindset that Rho Chi is intimidating and impossible to achieve. By serving as personable and accessible role models and mentors, we hope to be able to instill a desire for intellectual excellence in others. </w:t>
      </w:r>
    </w:p>
    <w:p w14:paraId="18D73BF3" w14:textId="77777777" w:rsidR="00A23329" w:rsidRDefault="00A23329">
      <w:pPr>
        <w:pStyle w:val="Normal1"/>
      </w:pPr>
    </w:p>
    <w:p w14:paraId="1423A4BC" w14:textId="77777777" w:rsidR="00A23329" w:rsidRDefault="00A24865">
      <w:pPr>
        <w:pStyle w:val="Normal1"/>
      </w:pPr>
      <w:r>
        <w:rPr>
          <w:b/>
        </w:rPr>
        <w:t>Activities</w:t>
      </w:r>
      <w:r>
        <w:t xml:space="preserve">: </w:t>
      </w:r>
    </w:p>
    <w:p w14:paraId="36737BE7" w14:textId="77777777" w:rsidR="00A23329" w:rsidRDefault="00A23329">
      <w:pPr>
        <w:pStyle w:val="Normal1"/>
      </w:pPr>
    </w:p>
    <w:p w14:paraId="07652693" w14:textId="77777777" w:rsidR="00A23329" w:rsidRDefault="00A24865">
      <w:pPr>
        <w:pStyle w:val="Normal1"/>
        <w:rPr>
          <w:highlight w:val="yellow"/>
          <w:u w:val="single"/>
        </w:rPr>
      </w:pPr>
      <w:r>
        <w:rPr>
          <w:u w:val="single"/>
        </w:rPr>
        <w:t>P2 Biopharmaceutical Sciences Final Review Session (Ongoing)</w:t>
      </w:r>
    </w:p>
    <w:p w14:paraId="4E858282" w14:textId="77777777" w:rsidR="00A23329" w:rsidRDefault="00A24865">
      <w:pPr>
        <w:pStyle w:val="Normal1"/>
        <w:ind w:firstLine="720"/>
      </w:pPr>
      <w:r>
        <w:t>During the Fall quarter, P2s take BPS 121 Pharmacokinetics as a prerequisite before starting therapeutics. Our chapter decided that this course would be perfect to help the second-years. We decided to hold the review session before the final exam, so that we would be able to review the new material as well as clarify any concepts from the midterms. We held a 2-hour session where two Rho Chi cabinet members and one regular member reviewed dosing models for Vancomycin, Aminoglycosides, and Digoxin. We brought snacks for our P2 students and another cabinet member was there to photograph the event. We reserved one of the main lecture halls for the session so that we were able to write on the board and use the project to convey dosing concepts. This initiative allowed us promote academic excellence and show underclassmen that Rho Chi members are an available resource to them.</w:t>
      </w:r>
    </w:p>
    <w:p w14:paraId="72EC9C66" w14:textId="77777777" w:rsidR="00A23329" w:rsidRDefault="00A23329">
      <w:pPr>
        <w:pStyle w:val="Normal1"/>
      </w:pPr>
    </w:p>
    <w:p w14:paraId="7A38F9D3" w14:textId="77777777" w:rsidR="00A23329" w:rsidRDefault="00A24865">
      <w:pPr>
        <w:pStyle w:val="Normal1"/>
        <w:rPr>
          <w:u w:val="single"/>
        </w:rPr>
      </w:pPr>
      <w:r>
        <w:rPr>
          <w:u w:val="single"/>
        </w:rPr>
        <w:t>P1 Meet and Greet (New Initiative)</w:t>
      </w:r>
    </w:p>
    <w:p w14:paraId="76D50EC2" w14:textId="77777777" w:rsidR="00A23329" w:rsidRDefault="00A24865" w:rsidP="00A24865">
      <w:pPr>
        <w:pStyle w:val="Normal1"/>
        <w:ind w:firstLine="720"/>
      </w:pPr>
      <w:r>
        <w:t xml:space="preserve">Historically our chapter of Rho Chi had not had a strong presence with the P1s, as more of our events were catered toward aiding P2s with their more rigorous academics. Hence, this year we wanted to hold an event in fall quarter that allowed Rho Chi members to introduce themselves to the P1s through a Meet and Greet. We bought some snacks and drinks for this event, which was scheduled right after the first P1 final, and invited the first-years to come de-stress with us and chat. This event allowed P1s to meet current Rho Chi members in a casual </w:t>
      </w:r>
      <w:r>
        <w:lastRenderedPageBreak/>
        <w:t xml:space="preserve">setting and ask any questions they had about the organization. It also provided an opportunity for current members to give back to our underclassmen by providing advice and promoting academic excellence. </w:t>
      </w:r>
    </w:p>
    <w:p w14:paraId="66A41319" w14:textId="77777777" w:rsidR="00A23329" w:rsidRDefault="00A23329">
      <w:pPr>
        <w:pStyle w:val="Normal1"/>
      </w:pPr>
    </w:p>
    <w:p w14:paraId="3F7D9234" w14:textId="77777777" w:rsidR="00A23329" w:rsidRDefault="00A24865">
      <w:pPr>
        <w:pStyle w:val="Normal1"/>
        <w:rPr>
          <w:highlight w:val="yellow"/>
          <w:u w:val="single"/>
        </w:rPr>
      </w:pPr>
      <w:r>
        <w:rPr>
          <w:u w:val="single"/>
        </w:rPr>
        <w:t>P2 Mock Patient Presentations (Ongoing)</w:t>
      </w:r>
    </w:p>
    <w:p w14:paraId="4F5EB2DA" w14:textId="77777777" w:rsidR="00A23329" w:rsidRDefault="00A24865">
      <w:pPr>
        <w:pStyle w:val="Normal1"/>
        <w:ind w:firstLine="720"/>
      </w:pPr>
      <w:r>
        <w:t>For the winter quarter, Rho Chi collaborated with the course coordinator to hold mock patient presentations. This was the first therapeutics course for the P2s and they have had little to no exposure to presenting a patient to a preceptor. For this activity, we reserved several smaller rooms to allow 1-on-1 practice with the P2s. We sent out a Google doc sign-up sheet for P2s to sign up for a 30-minute time slot. For the different rooms, we had several Rho Chi members volunteer to be preceptors for the second-years. When the first group of P2s arrived, they were given the patient case and given 15 minutes to SOAP the case and organize their presentation. They were then escorted to different rooms where they present the patient to the Rho Chi member. Afterwards, they were given feedback about their presentations with tips for improving. This event had a great turnout and we definitely plan to continue this event in the future. The private sessions allowed the students to get direct feedback about their presentations and personalized suggestions. This initiative allowed the students to get to know our members better and ideally feel encouraged to achieve more academically.</w:t>
      </w:r>
    </w:p>
    <w:p w14:paraId="7F00267D" w14:textId="77777777" w:rsidR="00A23329" w:rsidRDefault="00A23329">
      <w:pPr>
        <w:pStyle w:val="Normal1"/>
        <w:rPr>
          <w:u w:val="single"/>
        </w:rPr>
      </w:pPr>
    </w:p>
    <w:p w14:paraId="43D18CAF" w14:textId="77777777" w:rsidR="00A23329" w:rsidRDefault="00A24865">
      <w:pPr>
        <w:pStyle w:val="Normal1"/>
      </w:pPr>
      <w:r>
        <w:rPr>
          <w:u w:val="single"/>
        </w:rPr>
        <w:t>Student Guide to APPE’s (Ongoing)</w:t>
      </w:r>
    </w:p>
    <w:p w14:paraId="590EF867" w14:textId="77777777" w:rsidR="00A23329" w:rsidRDefault="00A24865">
      <w:pPr>
        <w:pStyle w:val="Normal1"/>
        <w:ind w:firstLine="720"/>
      </w:pPr>
      <w:r>
        <w:t>Started 7 years ago, the Student Guide to APPEs is an online resources available to UCSF pharmacy students that provides information about APPE rotations from the perspective of current students. P4s are asked to fill out a questionnaire about each rotation they complete describing: how to prepare for each rotation, clinical topics covered/learned, daily schedule, required assignments and presentations, and likes and dislikes. This resource continues to be used by all students when planning ahead and choosing rotations, so can be somewhat seen as a “Yelp” page for rotations. In order to continue participation from the current P4s to keep information up to date, we have continued the raffle to subsidize some of the pharmacist licensing fees for the winners. Each evaluation counted as one raffle entry.</w:t>
      </w:r>
    </w:p>
    <w:p w14:paraId="2E5C77A9" w14:textId="77777777" w:rsidR="00A23329" w:rsidRDefault="00A24865">
      <w:pPr>
        <w:pStyle w:val="Normal1"/>
        <w:ind w:firstLine="720"/>
      </w:pPr>
      <w:r>
        <w:t>As we do not usually request funding for our events, we have decided to utilize the stipend Associated Students of the School of Pharmacy (ASSP) provides organizations to fund the raffle. We plan to hold the raffle the week after the last rotation for the P4s where a majority of them will return to UCSF for a review session for board exams.</w:t>
      </w:r>
    </w:p>
    <w:p w14:paraId="2C676BFB" w14:textId="77777777" w:rsidR="00A23329" w:rsidRDefault="00A24865">
      <w:pPr>
        <w:pStyle w:val="Normal1"/>
        <w:ind w:firstLine="720"/>
      </w:pPr>
      <w:r>
        <w:t xml:space="preserve">Evaluations are currently being collected via Google Doc. In terms of uploading the evaluations, the Rho Chi Secretary splits the work evenly with a designated PLS cabinet member. This guide has continued to be an invaluable resource for students when deciding their rankings for rotation sites. </w:t>
      </w:r>
    </w:p>
    <w:p w14:paraId="16A65101" w14:textId="77777777" w:rsidR="00A23329" w:rsidRDefault="00A23329">
      <w:pPr>
        <w:pStyle w:val="Normal1"/>
        <w:ind w:firstLine="720"/>
      </w:pPr>
    </w:p>
    <w:p w14:paraId="057E5E85" w14:textId="77777777" w:rsidR="00A23329" w:rsidRDefault="00A24865">
      <w:pPr>
        <w:pStyle w:val="Normal1"/>
      </w:pPr>
      <w:r>
        <w:rPr>
          <w:b/>
        </w:rPr>
        <w:t>Financial/ Budgeting:</w:t>
      </w:r>
      <w:r>
        <w:t xml:space="preserve"> </w:t>
      </w:r>
    </w:p>
    <w:p w14:paraId="5BFCCEE9" w14:textId="77777777" w:rsidR="00A23329" w:rsidRDefault="00A24865">
      <w:pPr>
        <w:pStyle w:val="Normal1"/>
        <w:ind w:firstLine="720"/>
      </w:pPr>
      <w:r>
        <w:t xml:space="preserve">Our budget this year has allowed us to support many events, from putting on the P1 Meet and Greet that allowed networking between P1’s and upperclassmen, to the P2 Mock Patient Presentations. This year’s budget has also allowed our board to go on a retreat to foster bonding, reflect on this year’s achievements, and discuss our goals for the remainder of the year and for the next academic year. We also sponsored one student to attend the 2017 APhA Conference as our representative for the chapter. Finally, we used funds from our budget to complete the national report and to purchase certificates and pin replacements. In terms of fundraising, we </w:t>
      </w:r>
      <w:r>
        <w:lastRenderedPageBreak/>
        <w:t>spent $207.76 to purchase new Rho Chi gradation cords for the graduating P4 class, and made about $104.24 profit. Similarly to previous years, our initiation ceremony was generously sponsored by the Dean of the School of Pharmacy, and new initiates paid for themselves and any guests.</w:t>
      </w:r>
    </w:p>
    <w:p w14:paraId="0C9A9C23" w14:textId="77777777" w:rsidR="00A23329" w:rsidRDefault="00A23329">
      <w:pPr>
        <w:pStyle w:val="Normal1"/>
      </w:pPr>
    </w:p>
    <w:p w14:paraId="226495E0" w14:textId="77777777" w:rsidR="00A23329" w:rsidRDefault="00A24865">
      <w:pPr>
        <w:pStyle w:val="Normal1"/>
      </w:pPr>
      <w:r>
        <w:rPr>
          <w:b/>
        </w:rPr>
        <w:t>Initiation Function:</w:t>
      </w:r>
    </w:p>
    <w:p w14:paraId="07D67DD5" w14:textId="77777777" w:rsidR="00A23329" w:rsidRDefault="00A24865">
      <w:pPr>
        <w:pStyle w:val="Normal1"/>
      </w:pPr>
      <w:r>
        <w:tab/>
        <w:t xml:space="preserve">Initiation for 2016 inductees was held on Saturday, October 1st, 2016 at the Panta Rei Restaurant in downtown San Francisco. This restaurant was a new venue for us and they had a private dining room for our event. Our party consisted of 20/26 inductees, 4 cabinet members (President, Vice President, Secretary, Treasurer), our 1 faculty advisor, 2 faculty guests, and 12 non-UCSF guests. In total, 26 new members were initiated into the Alpha Lambda chapter for 2016. </w:t>
      </w:r>
    </w:p>
    <w:p w14:paraId="4AA6047C" w14:textId="77777777" w:rsidR="00A23329" w:rsidRDefault="00A24865">
      <w:pPr>
        <w:pStyle w:val="Normal1"/>
      </w:pPr>
      <w:r>
        <w:tab/>
        <w:t xml:space="preserve">The evening commenced with a three-course meal and an opportunity for 3rd and 4th year students to converse with each other. 4th year students were deep into their advanced pharmacy practice experiences as 3rd year students were coming off from their last official summer. The evening continued with a short speech from our advisor and president, induction of the new members, a ceremonial ritual, and election of the 2016-17 cabinet. Overall, the event lasted approximately 3 hours. </w:t>
      </w:r>
    </w:p>
    <w:p w14:paraId="5E06D40C" w14:textId="77777777" w:rsidR="00A23329" w:rsidRDefault="00A23329">
      <w:pPr>
        <w:pStyle w:val="Normal1"/>
      </w:pPr>
    </w:p>
    <w:p w14:paraId="4701C9BE" w14:textId="77777777" w:rsidR="00A23329" w:rsidRDefault="00A24865">
      <w:pPr>
        <w:pStyle w:val="Normal1"/>
      </w:pPr>
      <w:r>
        <w:rPr>
          <w:b/>
        </w:rPr>
        <w:t>Evaluation/Reflection:</w:t>
      </w:r>
      <w:r>
        <w:t xml:space="preserve"> </w:t>
      </w:r>
    </w:p>
    <w:p w14:paraId="2AA561C1" w14:textId="77777777" w:rsidR="00A23329" w:rsidRDefault="00A24865">
      <w:pPr>
        <w:pStyle w:val="Normal1"/>
      </w:pPr>
      <w:r>
        <w:tab/>
        <w:t>As we met for the 1st time as the new Rho Chi board earlier in the school year, we brainstormed on what we wanted to accomplish as an organization. We reviewed the events the previous board organized and adapted them for our use. We went through and identified each person's specific responsibilities in their role within the organization. We set out with the goal and intention to reach out to the classes below us and extend a helping hand as they navigated through the academic curriculum as 1st and 2nd year pharmacy students. This initial cabinet meeting allowed us to set expectations early on for the Alpha Lambda chapter and to keep everyone on the same page.</w:t>
      </w:r>
    </w:p>
    <w:p w14:paraId="25A3F9E3" w14:textId="77777777" w:rsidR="00A23329" w:rsidRDefault="00A24865">
      <w:pPr>
        <w:pStyle w:val="Normal1"/>
      </w:pPr>
      <w:r>
        <w:tab/>
        <w:t xml:space="preserve">Our 1st event was the P1 Meet &amp; Greet, a brand new event designed to increase the visibility of our chapter. This event occurred right at the beginning of finals week and acted as a de-stressor event. Healthy snacks and goodies were provided so that the students would have extra fuel for studying. We sought to use this event as a way for the P1’s to speak to upperclassmen and voice any concerns or ask any questions they may have about pharmacy school. Overall, the event was a success with around a 40-person turnout. Several students were extremely appreciative of our support during finals week. </w:t>
      </w:r>
    </w:p>
    <w:p w14:paraId="1EB64BF7" w14:textId="77777777" w:rsidR="00A23329" w:rsidRDefault="00A24865">
      <w:pPr>
        <w:pStyle w:val="Normal1"/>
      </w:pPr>
      <w:r>
        <w:tab/>
        <w:t xml:space="preserve">Our most well-attended event, the P2 Mock Patient Presentations was in its 2nd year. This event occurred during the first therapeutics course for the P2’s in which they have a patient presentation oral exam. Over 1/3rd of the P2’s attended the event and many of the new Rho Chi inductees volunteered their time to act as preceptor for these patient presentations. We worked closely with the faculty member coordinating the therapeutics course and she was very appreciative of our efforts to prepare students not only for the oral exam, but for their clinical rotations in the future as well. We had a strong turnout from the P3 Rho Chi members and are confident that further scholastic activities can be executed with similar success. </w:t>
      </w:r>
    </w:p>
    <w:p w14:paraId="528CF5AE" w14:textId="77777777" w:rsidR="00A23329" w:rsidRDefault="00A24865">
      <w:pPr>
        <w:pStyle w:val="Normal1"/>
      </w:pPr>
      <w:r>
        <w:tab/>
        <w:t xml:space="preserve">Overall, we believe we are developing more of a presence on campus and hope to continue hosting new and existing events. We will continue being creative and innovative in order to engage our membership and promote scholastic excellence. </w:t>
      </w:r>
    </w:p>
    <w:p w14:paraId="04BA01D6" w14:textId="77777777" w:rsidR="00A23329" w:rsidRDefault="00A24865">
      <w:pPr>
        <w:pStyle w:val="Normal1"/>
      </w:pPr>
      <w:r>
        <w:rPr>
          <w:b/>
        </w:rPr>
        <w:lastRenderedPageBreak/>
        <w:t>Other information:</w:t>
      </w:r>
      <w:r>
        <w:t xml:space="preserve"> </w:t>
      </w:r>
    </w:p>
    <w:p w14:paraId="6EE51840" w14:textId="77777777" w:rsidR="00A23329" w:rsidRDefault="00A24865">
      <w:pPr>
        <w:pStyle w:val="Normal1"/>
      </w:pPr>
      <w:r>
        <w:tab/>
        <w:t xml:space="preserve">Our Alpha Lambda chapter remains as a registered campus organization (RCO) at UCSF. We function primarily through the UCSF Orgsync community and provides us with an online tool to manage our members, events and website. We set up our events through this medium so that students can keep track of and RSVP to our events. </w:t>
      </w:r>
    </w:p>
    <w:p w14:paraId="65E04137" w14:textId="77777777" w:rsidR="00A23329" w:rsidRDefault="00A24865">
      <w:pPr>
        <w:pStyle w:val="Normal1"/>
        <w:ind w:firstLine="720"/>
      </w:pPr>
      <w:r>
        <w:t xml:space="preserve">We continue to maintain our </w:t>
      </w:r>
      <w:r>
        <w:rPr>
          <w:i/>
        </w:rPr>
        <w:t xml:space="preserve">Student Guide to APPEs </w:t>
      </w:r>
      <w:r>
        <w:t xml:space="preserve">on our website in order to provide all pharmacy students access to reviews and tips of specific rotation sites. In addition, our organization submits an article to be published in our School of Pharmacy newsletter, the Therapeutic Window, every quarter to highlight our chapter’s events throughout the year. </w:t>
      </w:r>
    </w:p>
    <w:p w14:paraId="6732BF75" w14:textId="77777777" w:rsidR="00A24865" w:rsidRDefault="00A24865">
      <w:pPr>
        <w:pStyle w:val="Normal1"/>
        <w:ind w:firstLine="720"/>
        <w:sectPr w:rsidR="00A24865" w:rsidSect="00A24865">
          <w:pgSz w:w="12240" w:h="15840"/>
          <w:pgMar w:top="1440" w:right="1440" w:bottom="1440" w:left="1440" w:header="0" w:footer="720" w:gutter="0"/>
          <w:pgNumType w:start="1"/>
          <w:cols w:space="720"/>
          <w:titlePg/>
        </w:sectPr>
      </w:pPr>
    </w:p>
    <w:p w14:paraId="20E7DB99" w14:textId="77777777" w:rsidR="00A24865" w:rsidRDefault="00A24865" w:rsidP="00A24865">
      <w:pPr>
        <w:pStyle w:val="Normal1"/>
        <w:jc w:val="center"/>
      </w:pPr>
      <w:r>
        <w:rPr>
          <w:b/>
        </w:rPr>
        <w:lastRenderedPageBreak/>
        <w:t>Appendix 1</w:t>
      </w:r>
    </w:p>
    <w:p w14:paraId="79E04C3A" w14:textId="77777777" w:rsidR="00A24865" w:rsidRDefault="00A24865" w:rsidP="00A24865">
      <w:pPr>
        <w:pStyle w:val="Normal1"/>
        <w:jc w:val="center"/>
      </w:pPr>
    </w:p>
    <w:p w14:paraId="2CD9507F" w14:textId="77777777" w:rsidR="00A24865" w:rsidRDefault="00A24865" w:rsidP="00A24865">
      <w:pPr>
        <w:pStyle w:val="Normal1"/>
        <w:jc w:val="center"/>
      </w:pPr>
      <w:r>
        <w:rPr>
          <w:b/>
        </w:rPr>
        <w:t xml:space="preserve">Chapter Activities Report </w:t>
      </w:r>
    </w:p>
    <w:tbl>
      <w:tblPr>
        <w:tblStyle w:val="a"/>
        <w:tblW w:w="14235"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1155"/>
        <w:gridCol w:w="1785"/>
        <w:gridCol w:w="1725"/>
        <w:gridCol w:w="840"/>
        <w:gridCol w:w="2385"/>
        <w:gridCol w:w="945"/>
        <w:gridCol w:w="1575"/>
        <w:gridCol w:w="2550"/>
      </w:tblGrid>
      <w:tr w:rsidR="00A24865" w14:paraId="5DDABA77" w14:textId="77777777" w:rsidTr="001410E4">
        <w:tc>
          <w:tcPr>
            <w:tcW w:w="11685" w:type="dxa"/>
            <w:gridSpan w:val="8"/>
          </w:tcPr>
          <w:p w14:paraId="27F1E2B1" w14:textId="77777777" w:rsidR="00A24865" w:rsidRPr="00593524" w:rsidRDefault="00A24865" w:rsidP="001410E4">
            <w:pPr>
              <w:pStyle w:val="Normal1"/>
              <w:rPr>
                <w:sz w:val="20"/>
                <w:szCs w:val="20"/>
                <w:u w:val="single"/>
              </w:rPr>
            </w:pPr>
            <w:r w:rsidRPr="00593524">
              <w:rPr>
                <w:sz w:val="20"/>
                <w:szCs w:val="20"/>
                <w:u w:val="single"/>
              </w:rPr>
              <w:t>[Chapter Name, School Name] Activity Table</w:t>
            </w:r>
          </w:p>
        </w:tc>
        <w:tc>
          <w:tcPr>
            <w:tcW w:w="2550" w:type="dxa"/>
          </w:tcPr>
          <w:p w14:paraId="05926FE1" w14:textId="77777777" w:rsidR="00A24865" w:rsidRPr="00593524" w:rsidRDefault="00A24865" w:rsidP="001410E4">
            <w:pPr>
              <w:pStyle w:val="Normal1"/>
              <w:rPr>
                <w:sz w:val="20"/>
                <w:szCs w:val="20"/>
                <w:u w:val="single"/>
              </w:rPr>
            </w:pPr>
          </w:p>
        </w:tc>
      </w:tr>
      <w:tr w:rsidR="00A24865" w14:paraId="174D2E58" w14:textId="77777777" w:rsidTr="001410E4">
        <w:tc>
          <w:tcPr>
            <w:tcW w:w="1275" w:type="dxa"/>
            <w:shd w:val="clear" w:color="auto" w:fill="F2F2F2"/>
          </w:tcPr>
          <w:p w14:paraId="2B305C1F" w14:textId="77777777" w:rsidR="00A24865" w:rsidRPr="00593524" w:rsidRDefault="00A24865" w:rsidP="001410E4">
            <w:pPr>
              <w:pStyle w:val="Normal1"/>
              <w:rPr>
                <w:sz w:val="20"/>
                <w:szCs w:val="20"/>
                <w:vertAlign w:val="superscript"/>
              </w:rPr>
            </w:pPr>
            <w:r w:rsidRPr="00593524">
              <w:rPr>
                <w:sz w:val="20"/>
                <w:szCs w:val="20"/>
              </w:rPr>
              <w:t>Category of Activity</w:t>
            </w:r>
            <w:r w:rsidRPr="00593524">
              <w:rPr>
                <w:sz w:val="20"/>
                <w:szCs w:val="20"/>
                <w:vertAlign w:val="superscript"/>
              </w:rPr>
              <w:t>1</w:t>
            </w:r>
          </w:p>
        </w:tc>
        <w:tc>
          <w:tcPr>
            <w:tcW w:w="1155" w:type="dxa"/>
            <w:shd w:val="clear" w:color="auto" w:fill="F2F2F2"/>
          </w:tcPr>
          <w:p w14:paraId="794AD285" w14:textId="77777777" w:rsidR="00A24865" w:rsidRPr="00593524" w:rsidRDefault="00A24865" w:rsidP="001410E4">
            <w:pPr>
              <w:pStyle w:val="Normal1"/>
              <w:rPr>
                <w:sz w:val="20"/>
                <w:szCs w:val="20"/>
              </w:rPr>
            </w:pPr>
            <w:r w:rsidRPr="00593524">
              <w:rPr>
                <w:sz w:val="20"/>
                <w:szCs w:val="20"/>
              </w:rPr>
              <w:t>Title of Activity</w:t>
            </w:r>
          </w:p>
        </w:tc>
        <w:tc>
          <w:tcPr>
            <w:tcW w:w="1785" w:type="dxa"/>
            <w:shd w:val="clear" w:color="auto" w:fill="F2F2F2"/>
          </w:tcPr>
          <w:p w14:paraId="467B4089" w14:textId="77777777" w:rsidR="00A24865" w:rsidRPr="00593524" w:rsidRDefault="00A24865" w:rsidP="001410E4">
            <w:pPr>
              <w:pStyle w:val="Normal1"/>
              <w:rPr>
                <w:sz w:val="20"/>
                <w:szCs w:val="20"/>
                <w:vertAlign w:val="superscript"/>
              </w:rPr>
            </w:pPr>
            <w:r w:rsidRPr="00593524">
              <w:rPr>
                <w:sz w:val="20"/>
                <w:szCs w:val="20"/>
              </w:rPr>
              <w:t>Brief Description</w:t>
            </w:r>
            <w:r w:rsidRPr="00593524">
              <w:rPr>
                <w:sz w:val="20"/>
                <w:szCs w:val="20"/>
                <w:vertAlign w:val="superscript"/>
              </w:rPr>
              <w:t>2</w:t>
            </w:r>
          </w:p>
        </w:tc>
        <w:tc>
          <w:tcPr>
            <w:tcW w:w="1725" w:type="dxa"/>
            <w:shd w:val="clear" w:color="auto" w:fill="F2F2F2"/>
          </w:tcPr>
          <w:p w14:paraId="0167AA4E" w14:textId="77777777" w:rsidR="00A24865" w:rsidRPr="00593524" w:rsidRDefault="00A24865" w:rsidP="001410E4">
            <w:pPr>
              <w:pStyle w:val="Normal1"/>
              <w:rPr>
                <w:sz w:val="20"/>
                <w:szCs w:val="20"/>
              </w:rPr>
            </w:pPr>
            <w:r w:rsidRPr="00593524">
              <w:rPr>
                <w:sz w:val="20"/>
                <w:szCs w:val="20"/>
              </w:rPr>
              <w:t>How Does This Activity Align With the Rho Chi Mission Statement?</w:t>
            </w:r>
          </w:p>
        </w:tc>
        <w:tc>
          <w:tcPr>
            <w:tcW w:w="840" w:type="dxa"/>
            <w:shd w:val="clear" w:color="auto" w:fill="F2F2F2"/>
          </w:tcPr>
          <w:p w14:paraId="00FD2059" w14:textId="77777777" w:rsidR="00A24865" w:rsidRPr="00593524" w:rsidRDefault="00A24865" w:rsidP="001410E4">
            <w:pPr>
              <w:pStyle w:val="Normal1"/>
              <w:rPr>
                <w:sz w:val="20"/>
                <w:szCs w:val="20"/>
              </w:rPr>
            </w:pPr>
            <w:r w:rsidRPr="00593524">
              <w:rPr>
                <w:sz w:val="20"/>
                <w:szCs w:val="20"/>
              </w:rPr>
              <w:t>Years the Activity has Been Ongoing?</w:t>
            </w:r>
          </w:p>
        </w:tc>
        <w:tc>
          <w:tcPr>
            <w:tcW w:w="2385" w:type="dxa"/>
            <w:shd w:val="clear" w:color="auto" w:fill="F2F2F2"/>
          </w:tcPr>
          <w:p w14:paraId="09CE97AE" w14:textId="77777777" w:rsidR="00A24865" w:rsidRPr="00593524" w:rsidRDefault="00A24865" w:rsidP="001410E4">
            <w:pPr>
              <w:pStyle w:val="Normal1"/>
              <w:rPr>
                <w:sz w:val="20"/>
                <w:szCs w:val="20"/>
              </w:rPr>
            </w:pPr>
            <w:r w:rsidRPr="00593524">
              <w:rPr>
                <w:sz w:val="20"/>
                <w:szCs w:val="20"/>
              </w:rPr>
              <w:t>If Activity has Been Ongoing for &gt;1 Year, What Evaluations Have Been Done to Assess the Success of the Activity and What Improvements Have Been Done Over the Past Year?</w:t>
            </w:r>
          </w:p>
        </w:tc>
        <w:tc>
          <w:tcPr>
            <w:tcW w:w="945" w:type="dxa"/>
            <w:shd w:val="clear" w:color="auto" w:fill="F2F2F2"/>
          </w:tcPr>
          <w:p w14:paraId="559DA6AB" w14:textId="77777777" w:rsidR="00A24865" w:rsidRPr="00593524" w:rsidRDefault="00A24865" w:rsidP="001410E4">
            <w:pPr>
              <w:pStyle w:val="Normal1"/>
              <w:rPr>
                <w:sz w:val="20"/>
                <w:szCs w:val="20"/>
              </w:rPr>
            </w:pPr>
            <w:r w:rsidRPr="00593524">
              <w:rPr>
                <w:sz w:val="20"/>
                <w:szCs w:val="20"/>
              </w:rPr>
              <w:t>How Many Members Participated in the Activity?</w:t>
            </w:r>
          </w:p>
        </w:tc>
        <w:tc>
          <w:tcPr>
            <w:tcW w:w="1575" w:type="dxa"/>
            <w:shd w:val="clear" w:color="auto" w:fill="F2F2F2"/>
          </w:tcPr>
          <w:p w14:paraId="1C0FBF05" w14:textId="77777777" w:rsidR="00A24865" w:rsidRPr="00593524" w:rsidRDefault="00A24865" w:rsidP="001410E4">
            <w:pPr>
              <w:pStyle w:val="Normal1"/>
              <w:rPr>
                <w:sz w:val="20"/>
                <w:szCs w:val="20"/>
              </w:rPr>
            </w:pPr>
            <w:r w:rsidRPr="00593524">
              <w:rPr>
                <w:sz w:val="20"/>
                <w:szCs w:val="20"/>
              </w:rPr>
              <w:t>How Many Students (non-members) and/or Patients were impacted by the Activity?</w:t>
            </w:r>
          </w:p>
        </w:tc>
        <w:tc>
          <w:tcPr>
            <w:tcW w:w="2550" w:type="dxa"/>
            <w:shd w:val="clear" w:color="auto" w:fill="F2F2F2"/>
          </w:tcPr>
          <w:p w14:paraId="231FD578" w14:textId="77777777" w:rsidR="00A24865" w:rsidRPr="00593524" w:rsidRDefault="00A24865" w:rsidP="001410E4">
            <w:pPr>
              <w:pStyle w:val="Normal1"/>
              <w:rPr>
                <w:sz w:val="20"/>
                <w:szCs w:val="20"/>
              </w:rPr>
            </w:pPr>
            <w:r w:rsidRPr="00593524">
              <w:rPr>
                <w:sz w:val="20"/>
                <w:szCs w:val="20"/>
              </w:rPr>
              <w:t>Financial Information for the Activity [Budget Required, Fundraising Amount]</w:t>
            </w:r>
          </w:p>
        </w:tc>
      </w:tr>
      <w:tr w:rsidR="00A24865" w14:paraId="573B4E92" w14:textId="77777777" w:rsidTr="001410E4">
        <w:trPr>
          <w:trHeight w:val="2020"/>
        </w:trPr>
        <w:tc>
          <w:tcPr>
            <w:tcW w:w="1275" w:type="dxa"/>
            <w:shd w:val="clear" w:color="auto" w:fill="FFC000"/>
          </w:tcPr>
          <w:p w14:paraId="06F79FF8" w14:textId="77777777" w:rsidR="00A24865" w:rsidRPr="00593524" w:rsidRDefault="00A24865" w:rsidP="00A24865">
            <w:pPr>
              <w:pStyle w:val="Normal1"/>
              <w:rPr>
                <w:sz w:val="20"/>
                <w:szCs w:val="20"/>
              </w:rPr>
            </w:pPr>
            <w:r w:rsidRPr="00593524">
              <w:rPr>
                <w:sz w:val="20"/>
                <w:szCs w:val="20"/>
              </w:rPr>
              <w:t xml:space="preserve">Intellectual Leadership Activities </w:t>
            </w:r>
          </w:p>
        </w:tc>
        <w:tc>
          <w:tcPr>
            <w:tcW w:w="1155" w:type="dxa"/>
            <w:shd w:val="clear" w:color="auto" w:fill="FFC000"/>
          </w:tcPr>
          <w:p w14:paraId="64C090D5" w14:textId="77777777" w:rsidR="00A24865" w:rsidRPr="00593524" w:rsidRDefault="00A24865" w:rsidP="001410E4">
            <w:pPr>
              <w:pStyle w:val="Normal1"/>
              <w:rPr>
                <w:sz w:val="20"/>
                <w:szCs w:val="20"/>
              </w:rPr>
            </w:pPr>
            <w:r w:rsidRPr="00593524">
              <w:rPr>
                <w:sz w:val="20"/>
                <w:szCs w:val="20"/>
              </w:rPr>
              <w:t>Mock Patient Presentation Workshop</w:t>
            </w:r>
          </w:p>
        </w:tc>
        <w:tc>
          <w:tcPr>
            <w:tcW w:w="1785" w:type="dxa"/>
            <w:shd w:val="clear" w:color="auto" w:fill="FFC000"/>
          </w:tcPr>
          <w:p w14:paraId="4A812DDE" w14:textId="77777777" w:rsidR="00A24865" w:rsidRPr="00593524" w:rsidRDefault="00A24865" w:rsidP="001410E4">
            <w:pPr>
              <w:pStyle w:val="Normal1"/>
              <w:rPr>
                <w:sz w:val="20"/>
                <w:szCs w:val="20"/>
              </w:rPr>
            </w:pPr>
            <w:r w:rsidRPr="00593524">
              <w:rPr>
                <w:sz w:val="20"/>
                <w:szCs w:val="20"/>
              </w:rPr>
              <w:t>Second year students were given the opportunity to work up a patient case and then present the patient to a Rho Chi member. After the encounter, second year students were provided feedback to make their presentation more fluid and strengthen their assessment and plan</w:t>
            </w:r>
          </w:p>
        </w:tc>
        <w:tc>
          <w:tcPr>
            <w:tcW w:w="1725" w:type="dxa"/>
            <w:shd w:val="clear" w:color="auto" w:fill="FFC000"/>
          </w:tcPr>
          <w:p w14:paraId="58C98C77" w14:textId="77777777" w:rsidR="00A24865" w:rsidRPr="00593524" w:rsidRDefault="00A24865" w:rsidP="001410E4">
            <w:pPr>
              <w:pStyle w:val="Normal1"/>
              <w:rPr>
                <w:sz w:val="20"/>
                <w:szCs w:val="20"/>
              </w:rPr>
            </w:pPr>
            <w:r w:rsidRPr="00593524">
              <w:rPr>
                <w:sz w:val="20"/>
                <w:szCs w:val="20"/>
              </w:rPr>
              <w:t>Advocated for the improvement of communication skills and academic excellence for non-members. In addition, the event encourages the professional growth of Rho Chi members by requiring them to provide meaningful feedback to younger colleagues</w:t>
            </w:r>
          </w:p>
        </w:tc>
        <w:tc>
          <w:tcPr>
            <w:tcW w:w="840" w:type="dxa"/>
            <w:shd w:val="clear" w:color="auto" w:fill="FFC000"/>
          </w:tcPr>
          <w:p w14:paraId="471EA3DF" w14:textId="77777777" w:rsidR="00A24865" w:rsidRPr="00593524" w:rsidRDefault="00A24865" w:rsidP="001410E4">
            <w:pPr>
              <w:pStyle w:val="Normal1"/>
              <w:rPr>
                <w:sz w:val="20"/>
                <w:szCs w:val="20"/>
              </w:rPr>
            </w:pPr>
            <w:r w:rsidRPr="00593524">
              <w:rPr>
                <w:sz w:val="20"/>
                <w:szCs w:val="20"/>
              </w:rPr>
              <w:t>2</w:t>
            </w:r>
          </w:p>
        </w:tc>
        <w:tc>
          <w:tcPr>
            <w:tcW w:w="2385" w:type="dxa"/>
            <w:shd w:val="clear" w:color="auto" w:fill="FFC000"/>
          </w:tcPr>
          <w:p w14:paraId="7D817867" w14:textId="77777777" w:rsidR="00A24865" w:rsidRPr="00593524" w:rsidRDefault="00A24865" w:rsidP="001410E4">
            <w:pPr>
              <w:pStyle w:val="Normal1"/>
              <w:rPr>
                <w:sz w:val="20"/>
                <w:szCs w:val="20"/>
              </w:rPr>
            </w:pPr>
            <w:r w:rsidRPr="00593524">
              <w:rPr>
                <w:sz w:val="20"/>
                <w:szCs w:val="20"/>
              </w:rPr>
              <w:t>A survey was sent out to all attendees and responses were positive. The event was held over the course of 2 days to ensure more students could participate.</w:t>
            </w:r>
          </w:p>
        </w:tc>
        <w:tc>
          <w:tcPr>
            <w:tcW w:w="945" w:type="dxa"/>
            <w:shd w:val="clear" w:color="auto" w:fill="FFC000"/>
          </w:tcPr>
          <w:p w14:paraId="6AF4F1D0" w14:textId="77777777" w:rsidR="00A24865" w:rsidRPr="00593524" w:rsidRDefault="00A24865" w:rsidP="001410E4">
            <w:pPr>
              <w:pStyle w:val="Normal1"/>
              <w:rPr>
                <w:sz w:val="20"/>
                <w:szCs w:val="20"/>
              </w:rPr>
            </w:pPr>
            <w:r w:rsidRPr="00593524">
              <w:rPr>
                <w:sz w:val="20"/>
                <w:szCs w:val="20"/>
              </w:rPr>
              <w:t>11</w:t>
            </w:r>
          </w:p>
        </w:tc>
        <w:tc>
          <w:tcPr>
            <w:tcW w:w="1575" w:type="dxa"/>
            <w:shd w:val="clear" w:color="auto" w:fill="FFC000"/>
          </w:tcPr>
          <w:p w14:paraId="51EDB611" w14:textId="77777777" w:rsidR="00A24865" w:rsidRPr="00593524" w:rsidRDefault="00A24865" w:rsidP="001410E4">
            <w:pPr>
              <w:pStyle w:val="Normal1"/>
              <w:rPr>
                <w:sz w:val="20"/>
                <w:szCs w:val="20"/>
              </w:rPr>
            </w:pPr>
            <w:r w:rsidRPr="00593524">
              <w:rPr>
                <w:sz w:val="20"/>
                <w:szCs w:val="20"/>
              </w:rPr>
              <w:t>48</w:t>
            </w:r>
          </w:p>
        </w:tc>
        <w:tc>
          <w:tcPr>
            <w:tcW w:w="2550" w:type="dxa"/>
            <w:shd w:val="clear" w:color="auto" w:fill="FFC000"/>
          </w:tcPr>
          <w:p w14:paraId="276E8D9C" w14:textId="77777777" w:rsidR="00A24865" w:rsidRPr="00593524" w:rsidRDefault="00A24865" w:rsidP="001410E4">
            <w:pPr>
              <w:pStyle w:val="Normal1"/>
              <w:rPr>
                <w:sz w:val="20"/>
                <w:szCs w:val="20"/>
              </w:rPr>
            </w:pPr>
            <w:r w:rsidRPr="00593524">
              <w:rPr>
                <w:sz w:val="20"/>
                <w:szCs w:val="20"/>
              </w:rPr>
              <w:t>N/A</w:t>
            </w:r>
          </w:p>
        </w:tc>
      </w:tr>
      <w:tr w:rsidR="00A24865" w14:paraId="3861F816" w14:textId="77777777" w:rsidTr="001410E4">
        <w:trPr>
          <w:trHeight w:val="2020"/>
        </w:trPr>
        <w:tc>
          <w:tcPr>
            <w:tcW w:w="1275" w:type="dxa"/>
            <w:shd w:val="clear" w:color="auto" w:fill="FFC000"/>
          </w:tcPr>
          <w:p w14:paraId="19421A06" w14:textId="77777777" w:rsidR="00A24865" w:rsidRPr="00593524" w:rsidRDefault="00A24865" w:rsidP="00A24865">
            <w:pPr>
              <w:pStyle w:val="Normal1"/>
              <w:rPr>
                <w:sz w:val="20"/>
                <w:szCs w:val="20"/>
              </w:rPr>
            </w:pPr>
            <w:r w:rsidRPr="00593524">
              <w:rPr>
                <w:sz w:val="20"/>
                <w:szCs w:val="20"/>
              </w:rPr>
              <w:t xml:space="preserve">Intellectual Leadership Activities </w:t>
            </w:r>
          </w:p>
        </w:tc>
        <w:tc>
          <w:tcPr>
            <w:tcW w:w="1155" w:type="dxa"/>
            <w:shd w:val="clear" w:color="auto" w:fill="FFC000"/>
          </w:tcPr>
          <w:p w14:paraId="17ED09A3" w14:textId="77777777" w:rsidR="00A24865" w:rsidRPr="00593524" w:rsidRDefault="00A24865" w:rsidP="001410E4">
            <w:pPr>
              <w:pStyle w:val="Normal1"/>
              <w:rPr>
                <w:sz w:val="20"/>
                <w:szCs w:val="20"/>
              </w:rPr>
            </w:pPr>
            <w:r w:rsidRPr="00593524">
              <w:rPr>
                <w:sz w:val="20"/>
                <w:szCs w:val="20"/>
              </w:rPr>
              <w:t>BPS 121 Review Session</w:t>
            </w:r>
          </w:p>
        </w:tc>
        <w:tc>
          <w:tcPr>
            <w:tcW w:w="1785" w:type="dxa"/>
            <w:shd w:val="clear" w:color="auto" w:fill="FFC000"/>
          </w:tcPr>
          <w:p w14:paraId="7B976131" w14:textId="77777777" w:rsidR="00A24865" w:rsidRPr="00593524" w:rsidRDefault="00A24865" w:rsidP="001410E4">
            <w:pPr>
              <w:pStyle w:val="Normal1"/>
              <w:rPr>
                <w:sz w:val="20"/>
                <w:szCs w:val="20"/>
              </w:rPr>
            </w:pPr>
            <w:r w:rsidRPr="00593524">
              <w:rPr>
                <w:sz w:val="20"/>
                <w:szCs w:val="20"/>
              </w:rPr>
              <w:t>Covered Vanco, AG, and Digoxin dosing models to prepare students for a course that has been historically challenging</w:t>
            </w:r>
          </w:p>
        </w:tc>
        <w:tc>
          <w:tcPr>
            <w:tcW w:w="1725" w:type="dxa"/>
            <w:shd w:val="clear" w:color="auto" w:fill="FFC000"/>
          </w:tcPr>
          <w:p w14:paraId="797890BB" w14:textId="77777777" w:rsidR="00A24865" w:rsidRPr="00593524" w:rsidRDefault="00A24865" w:rsidP="001410E4">
            <w:pPr>
              <w:pStyle w:val="Normal1"/>
              <w:rPr>
                <w:sz w:val="20"/>
                <w:szCs w:val="20"/>
              </w:rPr>
            </w:pPr>
            <w:r w:rsidRPr="00593524">
              <w:rPr>
                <w:sz w:val="20"/>
                <w:szCs w:val="20"/>
              </w:rPr>
              <w:t>Designed to improve students’ understanding of material and promote academic excellence</w:t>
            </w:r>
          </w:p>
        </w:tc>
        <w:tc>
          <w:tcPr>
            <w:tcW w:w="840" w:type="dxa"/>
            <w:shd w:val="clear" w:color="auto" w:fill="FFC000"/>
          </w:tcPr>
          <w:p w14:paraId="2155408F" w14:textId="77777777" w:rsidR="00A24865" w:rsidRPr="00593524" w:rsidRDefault="00A24865" w:rsidP="001410E4">
            <w:pPr>
              <w:pStyle w:val="Normal1"/>
              <w:rPr>
                <w:sz w:val="20"/>
                <w:szCs w:val="20"/>
              </w:rPr>
            </w:pPr>
            <w:r w:rsidRPr="00593524">
              <w:rPr>
                <w:sz w:val="20"/>
                <w:szCs w:val="20"/>
              </w:rPr>
              <w:t>2</w:t>
            </w:r>
          </w:p>
        </w:tc>
        <w:tc>
          <w:tcPr>
            <w:tcW w:w="2385" w:type="dxa"/>
            <w:shd w:val="clear" w:color="auto" w:fill="FFC000"/>
          </w:tcPr>
          <w:p w14:paraId="5E9A73B5" w14:textId="77777777" w:rsidR="00A24865" w:rsidRPr="00593524" w:rsidRDefault="00A24865" w:rsidP="001410E4">
            <w:pPr>
              <w:pStyle w:val="Normal1"/>
              <w:rPr>
                <w:sz w:val="20"/>
                <w:szCs w:val="20"/>
              </w:rPr>
            </w:pPr>
            <w:r w:rsidRPr="00593524">
              <w:rPr>
                <w:sz w:val="20"/>
                <w:szCs w:val="20"/>
              </w:rPr>
              <w:t>Covered dosing models  rather than pharmacokinetic models because they have been historically more challenging.</w:t>
            </w:r>
          </w:p>
        </w:tc>
        <w:tc>
          <w:tcPr>
            <w:tcW w:w="945" w:type="dxa"/>
            <w:shd w:val="clear" w:color="auto" w:fill="FFC000"/>
          </w:tcPr>
          <w:p w14:paraId="6655C4B6" w14:textId="77777777" w:rsidR="00A24865" w:rsidRPr="00593524" w:rsidRDefault="00A24865" w:rsidP="001410E4">
            <w:pPr>
              <w:pStyle w:val="Normal1"/>
              <w:rPr>
                <w:sz w:val="20"/>
                <w:szCs w:val="20"/>
              </w:rPr>
            </w:pPr>
            <w:r w:rsidRPr="00593524">
              <w:rPr>
                <w:sz w:val="20"/>
                <w:szCs w:val="20"/>
              </w:rPr>
              <w:t>4</w:t>
            </w:r>
          </w:p>
        </w:tc>
        <w:tc>
          <w:tcPr>
            <w:tcW w:w="1575" w:type="dxa"/>
            <w:shd w:val="clear" w:color="auto" w:fill="FFC000"/>
          </w:tcPr>
          <w:p w14:paraId="036871C8" w14:textId="77777777" w:rsidR="00A24865" w:rsidRPr="00593524" w:rsidRDefault="00A24865" w:rsidP="001410E4">
            <w:pPr>
              <w:pStyle w:val="Normal1"/>
              <w:rPr>
                <w:sz w:val="20"/>
                <w:szCs w:val="20"/>
              </w:rPr>
            </w:pPr>
            <w:r w:rsidRPr="00593524">
              <w:rPr>
                <w:sz w:val="20"/>
                <w:szCs w:val="20"/>
              </w:rPr>
              <w:t>~ 20 P2 students</w:t>
            </w:r>
          </w:p>
        </w:tc>
        <w:tc>
          <w:tcPr>
            <w:tcW w:w="2550" w:type="dxa"/>
            <w:shd w:val="clear" w:color="auto" w:fill="FFC000"/>
          </w:tcPr>
          <w:p w14:paraId="58E1BC34" w14:textId="77777777" w:rsidR="00A24865" w:rsidRPr="00593524" w:rsidRDefault="00A24865" w:rsidP="001410E4">
            <w:pPr>
              <w:pStyle w:val="Normal1"/>
              <w:rPr>
                <w:sz w:val="20"/>
                <w:szCs w:val="20"/>
              </w:rPr>
            </w:pPr>
            <w:r w:rsidRPr="00593524">
              <w:rPr>
                <w:sz w:val="20"/>
                <w:szCs w:val="20"/>
              </w:rPr>
              <w:t>N/A</w:t>
            </w:r>
          </w:p>
          <w:p w14:paraId="66FDF9B8" w14:textId="77777777" w:rsidR="00A24865" w:rsidRPr="00593524" w:rsidRDefault="00A24865" w:rsidP="001410E4">
            <w:pPr>
              <w:pStyle w:val="Normal1"/>
              <w:rPr>
                <w:sz w:val="20"/>
                <w:szCs w:val="20"/>
              </w:rPr>
            </w:pPr>
          </w:p>
        </w:tc>
      </w:tr>
      <w:tr w:rsidR="00A24865" w14:paraId="0B5DF084" w14:textId="77777777" w:rsidTr="001410E4">
        <w:trPr>
          <w:trHeight w:val="2020"/>
        </w:trPr>
        <w:tc>
          <w:tcPr>
            <w:tcW w:w="1275" w:type="dxa"/>
            <w:shd w:val="clear" w:color="auto" w:fill="FFC000"/>
          </w:tcPr>
          <w:p w14:paraId="21774194" w14:textId="77777777" w:rsidR="00A24865" w:rsidRPr="00593524" w:rsidRDefault="00A24865" w:rsidP="001410E4">
            <w:pPr>
              <w:pStyle w:val="Normal1"/>
              <w:rPr>
                <w:sz w:val="20"/>
                <w:szCs w:val="20"/>
              </w:rPr>
            </w:pPr>
            <w:r w:rsidRPr="00593524">
              <w:rPr>
                <w:sz w:val="20"/>
                <w:szCs w:val="20"/>
              </w:rPr>
              <w:t xml:space="preserve">Intellectual Leadership Activities </w:t>
            </w:r>
          </w:p>
        </w:tc>
        <w:tc>
          <w:tcPr>
            <w:tcW w:w="1155" w:type="dxa"/>
            <w:shd w:val="clear" w:color="auto" w:fill="FFC000"/>
          </w:tcPr>
          <w:p w14:paraId="771B9F95" w14:textId="77777777" w:rsidR="00A24865" w:rsidRPr="00593524" w:rsidRDefault="00A24865" w:rsidP="001410E4">
            <w:pPr>
              <w:pStyle w:val="Normal1"/>
              <w:rPr>
                <w:sz w:val="20"/>
                <w:szCs w:val="20"/>
              </w:rPr>
            </w:pPr>
            <w:r w:rsidRPr="00593524">
              <w:rPr>
                <w:sz w:val="20"/>
                <w:szCs w:val="20"/>
              </w:rPr>
              <w:t>Student Guide to APPEs</w:t>
            </w:r>
          </w:p>
        </w:tc>
        <w:tc>
          <w:tcPr>
            <w:tcW w:w="1785" w:type="dxa"/>
            <w:shd w:val="clear" w:color="auto" w:fill="FFC000"/>
          </w:tcPr>
          <w:p w14:paraId="79C608A4" w14:textId="77777777" w:rsidR="00A24865" w:rsidRPr="00593524" w:rsidRDefault="00A24865" w:rsidP="001410E4">
            <w:pPr>
              <w:pStyle w:val="Normal1"/>
              <w:rPr>
                <w:sz w:val="20"/>
                <w:szCs w:val="20"/>
              </w:rPr>
            </w:pPr>
            <w:r w:rsidRPr="00593524">
              <w:rPr>
                <w:sz w:val="20"/>
                <w:szCs w:val="20"/>
              </w:rPr>
              <w:t>P4 Student evaluations of rotation sites were collected and shared with other SOP student to help them choose which rotation sites they wanted to attend</w:t>
            </w:r>
          </w:p>
        </w:tc>
        <w:tc>
          <w:tcPr>
            <w:tcW w:w="1725" w:type="dxa"/>
            <w:shd w:val="clear" w:color="auto" w:fill="FFC000"/>
          </w:tcPr>
          <w:p w14:paraId="3D4682F9" w14:textId="77777777" w:rsidR="00A24865" w:rsidRPr="00593524" w:rsidRDefault="00A24865" w:rsidP="001410E4">
            <w:pPr>
              <w:pStyle w:val="Normal1"/>
              <w:rPr>
                <w:sz w:val="20"/>
                <w:szCs w:val="20"/>
              </w:rPr>
            </w:pPr>
            <w:r w:rsidRPr="00593524">
              <w:rPr>
                <w:sz w:val="20"/>
                <w:szCs w:val="20"/>
              </w:rPr>
              <w:t>This activity provides the entire student body with information that is helpful during their time in school</w:t>
            </w:r>
          </w:p>
        </w:tc>
        <w:tc>
          <w:tcPr>
            <w:tcW w:w="840" w:type="dxa"/>
            <w:shd w:val="clear" w:color="auto" w:fill="FFC000"/>
          </w:tcPr>
          <w:p w14:paraId="551B6CFD" w14:textId="77777777" w:rsidR="00A24865" w:rsidRPr="00593524" w:rsidRDefault="00A24865" w:rsidP="001410E4">
            <w:pPr>
              <w:pStyle w:val="Normal1"/>
              <w:rPr>
                <w:sz w:val="20"/>
                <w:szCs w:val="20"/>
              </w:rPr>
            </w:pPr>
            <w:r w:rsidRPr="00593524">
              <w:rPr>
                <w:sz w:val="20"/>
                <w:szCs w:val="20"/>
              </w:rPr>
              <w:t>7</w:t>
            </w:r>
          </w:p>
        </w:tc>
        <w:tc>
          <w:tcPr>
            <w:tcW w:w="2385" w:type="dxa"/>
            <w:shd w:val="clear" w:color="auto" w:fill="FFC000"/>
          </w:tcPr>
          <w:p w14:paraId="1830FA48" w14:textId="77777777" w:rsidR="00A24865" w:rsidRPr="00593524" w:rsidRDefault="00A24865" w:rsidP="001410E4">
            <w:pPr>
              <w:pStyle w:val="Normal1"/>
              <w:rPr>
                <w:sz w:val="20"/>
                <w:szCs w:val="20"/>
              </w:rPr>
            </w:pPr>
            <w:r w:rsidRPr="00593524">
              <w:rPr>
                <w:sz w:val="20"/>
                <w:szCs w:val="20"/>
              </w:rPr>
              <w:t>Feedback is collected from students and faculty. The amount of information continues to be updated from the students who just finished the rotations recently</w:t>
            </w:r>
          </w:p>
        </w:tc>
        <w:tc>
          <w:tcPr>
            <w:tcW w:w="945" w:type="dxa"/>
            <w:shd w:val="clear" w:color="auto" w:fill="FFC000"/>
          </w:tcPr>
          <w:p w14:paraId="29FE63DD" w14:textId="77777777" w:rsidR="00A24865" w:rsidRPr="00593524" w:rsidRDefault="00A24865" w:rsidP="001410E4">
            <w:pPr>
              <w:pStyle w:val="Normal1"/>
              <w:rPr>
                <w:sz w:val="20"/>
                <w:szCs w:val="20"/>
              </w:rPr>
            </w:pPr>
            <w:r w:rsidRPr="00593524">
              <w:rPr>
                <w:sz w:val="20"/>
                <w:szCs w:val="20"/>
              </w:rPr>
              <w:t>5</w:t>
            </w:r>
          </w:p>
        </w:tc>
        <w:tc>
          <w:tcPr>
            <w:tcW w:w="1575" w:type="dxa"/>
            <w:shd w:val="clear" w:color="auto" w:fill="FFC000"/>
          </w:tcPr>
          <w:p w14:paraId="1F49E89C" w14:textId="77777777" w:rsidR="00A24865" w:rsidRPr="00593524" w:rsidRDefault="00A24865" w:rsidP="001410E4">
            <w:pPr>
              <w:pStyle w:val="Normal1"/>
              <w:rPr>
                <w:sz w:val="20"/>
                <w:szCs w:val="20"/>
              </w:rPr>
            </w:pPr>
            <w:r w:rsidRPr="00593524">
              <w:rPr>
                <w:sz w:val="20"/>
                <w:szCs w:val="20"/>
              </w:rPr>
              <w:t>~366 students</w:t>
            </w:r>
          </w:p>
        </w:tc>
        <w:tc>
          <w:tcPr>
            <w:tcW w:w="2550" w:type="dxa"/>
            <w:shd w:val="clear" w:color="auto" w:fill="FFC000"/>
          </w:tcPr>
          <w:p w14:paraId="716D5B8C" w14:textId="77777777" w:rsidR="00A24865" w:rsidRPr="00593524" w:rsidRDefault="00A24865" w:rsidP="001410E4">
            <w:pPr>
              <w:pStyle w:val="Normal1"/>
              <w:rPr>
                <w:sz w:val="20"/>
                <w:szCs w:val="20"/>
              </w:rPr>
            </w:pPr>
            <w:r w:rsidRPr="00593524">
              <w:rPr>
                <w:sz w:val="20"/>
                <w:szCs w:val="20"/>
              </w:rPr>
              <w:t>The Associated Students of the School of Pharmacy (ASSP) will make a contribution to subsidize licensing fees for one of the students who submits an evaluation and wins the raffle</w:t>
            </w:r>
          </w:p>
        </w:tc>
      </w:tr>
      <w:tr w:rsidR="00A24865" w14:paraId="45D92718" w14:textId="77777777" w:rsidTr="001410E4">
        <w:trPr>
          <w:trHeight w:val="1500"/>
        </w:trPr>
        <w:tc>
          <w:tcPr>
            <w:tcW w:w="1275" w:type="dxa"/>
          </w:tcPr>
          <w:p w14:paraId="2DE0A5BC" w14:textId="77777777" w:rsidR="00A24865" w:rsidRPr="00593524" w:rsidRDefault="00A24865" w:rsidP="00A24865">
            <w:pPr>
              <w:pStyle w:val="Normal1"/>
              <w:rPr>
                <w:sz w:val="20"/>
                <w:szCs w:val="20"/>
              </w:rPr>
            </w:pPr>
            <w:r w:rsidRPr="00593524">
              <w:rPr>
                <w:sz w:val="20"/>
                <w:szCs w:val="20"/>
              </w:rPr>
              <w:t xml:space="preserve">College of Pharmacy Events </w:t>
            </w:r>
          </w:p>
        </w:tc>
        <w:tc>
          <w:tcPr>
            <w:tcW w:w="1155" w:type="dxa"/>
          </w:tcPr>
          <w:p w14:paraId="1E42F677" w14:textId="77777777" w:rsidR="00A24865" w:rsidRPr="00593524" w:rsidRDefault="00A24865" w:rsidP="001410E4">
            <w:pPr>
              <w:pStyle w:val="Normal1"/>
              <w:rPr>
                <w:sz w:val="20"/>
                <w:szCs w:val="20"/>
              </w:rPr>
            </w:pPr>
            <w:r w:rsidRPr="00593524">
              <w:rPr>
                <w:sz w:val="20"/>
                <w:szCs w:val="20"/>
              </w:rPr>
              <w:t>P1 Meet and Greet</w:t>
            </w:r>
          </w:p>
        </w:tc>
        <w:tc>
          <w:tcPr>
            <w:tcW w:w="1785" w:type="dxa"/>
          </w:tcPr>
          <w:p w14:paraId="09F5EC8E" w14:textId="77777777" w:rsidR="00A24865" w:rsidRPr="00593524" w:rsidRDefault="00A24865" w:rsidP="001410E4">
            <w:pPr>
              <w:pStyle w:val="Normal1"/>
              <w:rPr>
                <w:sz w:val="20"/>
                <w:szCs w:val="20"/>
              </w:rPr>
            </w:pPr>
            <w:r w:rsidRPr="00593524">
              <w:rPr>
                <w:sz w:val="20"/>
                <w:szCs w:val="20"/>
              </w:rPr>
              <w:t>Casual social with food and snacks for first-year students to meet current Rho Chi members</w:t>
            </w:r>
          </w:p>
        </w:tc>
        <w:tc>
          <w:tcPr>
            <w:tcW w:w="1725" w:type="dxa"/>
          </w:tcPr>
          <w:p w14:paraId="3A80B557" w14:textId="77777777" w:rsidR="00A24865" w:rsidRPr="00593524" w:rsidRDefault="00A24865" w:rsidP="001410E4">
            <w:pPr>
              <w:pStyle w:val="Normal1"/>
              <w:rPr>
                <w:sz w:val="20"/>
                <w:szCs w:val="20"/>
              </w:rPr>
            </w:pPr>
            <w:r w:rsidRPr="00593524">
              <w:rPr>
                <w:sz w:val="20"/>
                <w:szCs w:val="20"/>
              </w:rPr>
              <w:t xml:space="preserve">It provided an opportunity for Rho Chi members to introduce themselves to the first years and promote academic excellence. </w:t>
            </w:r>
          </w:p>
          <w:p w14:paraId="76B99575" w14:textId="77777777" w:rsidR="00A24865" w:rsidRPr="00593524" w:rsidRDefault="00A24865" w:rsidP="001410E4">
            <w:pPr>
              <w:pStyle w:val="Normal1"/>
              <w:rPr>
                <w:sz w:val="20"/>
                <w:szCs w:val="20"/>
              </w:rPr>
            </w:pPr>
          </w:p>
        </w:tc>
        <w:tc>
          <w:tcPr>
            <w:tcW w:w="840" w:type="dxa"/>
          </w:tcPr>
          <w:p w14:paraId="48A794F3" w14:textId="77777777" w:rsidR="00A24865" w:rsidRPr="00593524" w:rsidRDefault="00A24865" w:rsidP="001410E4">
            <w:pPr>
              <w:pStyle w:val="Normal1"/>
              <w:rPr>
                <w:sz w:val="20"/>
                <w:szCs w:val="20"/>
              </w:rPr>
            </w:pPr>
            <w:r w:rsidRPr="00593524">
              <w:rPr>
                <w:sz w:val="20"/>
                <w:szCs w:val="20"/>
              </w:rPr>
              <w:t>1</w:t>
            </w:r>
          </w:p>
        </w:tc>
        <w:tc>
          <w:tcPr>
            <w:tcW w:w="2385" w:type="dxa"/>
          </w:tcPr>
          <w:p w14:paraId="600A1A66" w14:textId="77777777" w:rsidR="00A24865" w:rsidRPr="00593524" w:rsidRDefault="00A24865" w:rsidP="001410E4">
            <w:pPr>
              <w:pStyle w:val="Normal1"/>
              <w:rPr>
                <w:sz w:val="20"/>
                <w:szCs w:val="20"/>
              </w:rPr>
            </w:pPr>
            <w:r w:rsidRPr="00593524">
              <w:rPr>
                <w:sz w:val="20"/>
                <w:szCs w:val="20"/>
              </w:rPr>
              <w:t>N/A</w:t>
            </w:r>
          </w:p>
        </w:tc>
        <w:tc>
          <w:tcPr>
            <w:tcW w:w="945" w:type="dxa"/>
          </w:tcPr>
          <w:p w14:paraId="7EA39903" w14:textId="77777777" w:rsidR="00A24865" w:rsidRPr="00593524" w:rsidRDefault="00A24865" w:rsidP="001410E4">
            <w:pPr>
              <w:pStyle w:val="Normal1"/>
              <w:rPr>
                <w:sz w:val="20"/>
                <w:szCs w:val="20"/>
              </w:rPr>
            </w:pPr>
            <w:r w:rsidRPr="00593524">
              <w:rPr>
                <w:sz w:val="20"/>
                <w:szCs w:val="20"/>
              </w:rPr>
              <w:t>6</w:t>
            </w:r>
          </w:p>
        </w:tc>
        <w:tc>
          <w:tcPr>
            <w:tcW w:w="1575" w:type="dxa"/>
          </w:tcPr>
          <w:p w14:paraId="6531FFC0" w14:textId="77777777" w:rsidR="00A24865" w:rsidRPr="00593524" w:rsidRDefault="00A24865" w:rsidP="001410E4">
            <w:pPr>
              <w:pStyle w:val="Normal1"/>
              <w:rPr>
                <w:sz w:val="20"/>
                <w:szCs w:val="20"/>
              </w:rPr>
            </w:pPr>
            <w:r w:rsidRPr="00593524">
              <w:rPr>
                <w:sz w:val="20"/>
                <w:szCs w:val="20"/>
              </w:rPr>
              <w:t>~40</w:t>
            </w:r>
          </w:p>
        </w:tc>
        <w:tc>
          <w:tcPr>
            <w:tcW w:w="2550" w:type="dxa"/>
          </w:tcPr>
          <w:p w14:paraId="4A2D45BC" w14:textId="77777777" w:rsidR="00A24865" w:rsidRPr="00593524" w:rsidRDefault="00A24865" w:rsidP="001410E4">
            <w:pPr>
              <w:pStyle w:val="Normal1"/>
              <w:rPr>
                <w:sz w:val="20"/>
                <w:szCs w:val="20"/>
              </w:rPr>
            </w:pPr>
            <w:r w:rsidRPr="00593524">
              <w:rPr>
                <w:sz w:val="20"/>
                <w:szCs w:val="20"/>
              </w:rPr>
              <w:t>$150 for food and snacks from Rho Chi funds</w:t>
            </w:r>
          </w:p>
        </w:tc>
      </w:tr>
    </w:tbl>
    <w:p w14:paraId="36BDAFD7" w14:textId="77777777" w:rsidR="00A24865" w:rsidRDefault="00A24865" w:rsidP="00A24865">
      <w:pPr>
        <w:pStyle w:val="Normal1"/>
        <w:spacing w:after="200"/>
      </w:pPr>
    </w:p>
    <w:p w14:paraId="260FA911" w14:textId="77777777" w:rsidR="00A24865" w:rsidRDefault="00A24865" w:rsidP="00A24865">
      <w:pPr>
        <w:pStyle w:val="Normal1"/>
        <w:jc w:val="center"/>
      </w:pPr>
    </w:p>
    <w:p w14:paraId="41D5C279" w14:textId="77777777" w:rsidR="00A24865" w:rsidRDefault="00A24865" w:rsidP="00A24865">
      <w:pPr>
        <w:pStyle w:val="Normal1"/>
      </w:pPr>
      <w:r>
        <w:br w:type="page"/>
      </w:r>
    </w:p>
    <w:p w14:paraId="409278DE" w14:textId="77777777" w:rsidR="00A24865" w:rsidRPr="00A24865" w:rsidRDefault="00A24865" w:rsidP="00A24865">
      <w:pPr>
        <w:pStyle w:val="Normal1"/>
        <w:jc w:val="center"/>
        <w:rPr>
          <w:b/>
          <w:highlight w:val="yellow"/>
        </w:rPr>
      </w:pPr>
      <w:r w:rsidRPr="00A24865">
        <w:rPr>
          <w:b/>
        </w:rPr>
        <w:t>Appendix 2</w:t>
      </w:r>
    </w:p>
    <w:p w14:paraId="4E33BF7A" w14:textId="77777777" w:rsidR="00A24865" w:rsidRDefault="00A24865" w:rsidP="00A24865">
      <w:pPr>
        <w:pStyle w:val="Normal1"/>
        <w:jc w:val="center"/>
      </w:pPr>
    </w:p>
    <w:p w14:paraId="32459B90" w14:textId="77777777" w:rsidR="00A24865" w:rsidRDefault="00A24865" w:rsidP="00A24865">
      <w:pPr>
        <w:pStyle w:val="Normal1"/>
        <w:jc w:val="center"/>
      </w:pPr>
      <w:r>
        <w:t xml:space="preserve">Rho Chi Chapter Annual Budget Report </w:t>
      </w:r>
    </w:p>
    <w:tbl>
      <w:tblPr>
        <w:tblStyle w:val="a0"/>
        <w:tblW w:w="10290" w:type="dxa"/>
        <w:tblInd w:w="-15" w:type="dxa"/>
        <w:tblLayout w:type="fixed"/>
        <w:tblLook w:val="0000" w:firstRow="0" w:lastRow="0" w:firstColumn="0" w:lastColumn="0" w:noHBand="0" w:noVBand="0"/>
      </w:tblPr>
      <w:tblGrid>
        <w:gridCol w:w="3735"/>
        <w:gridCol w:w="1620"/>
        <w:gridCol w:w="1410"/>
        <w:gridCol w:w="1560"/>
        <w:gridCol w:w="1965"/>
      </w:tblGrid>
      <w:tr w:rsidR="00A24865" w14:paraId="2C57C782" w14:textId="77777777" w:rsidTr="001410E4">
        <w:trPr>
          <w:trHeight w:val="900"/>
        </w:trPr>
        <w:tc>
          <w:tcPr>
            <w:tcW w:w="3735" w:type="dxa"/>
            <w:tcBorders>
              <w:top w:val="single" w:sz="4" w:space="0" w:color="5B9BD5"/>
              <w:left w:val="single" w:sz="4" w:space="0" w:color="5B9BD5"/>
              <w:bottom w:val="nil"/>
              <w:right w:val="nil"/>
            </w:tcBorders>
            <w:shd w:val="clear" w:color="auto" w:fill="5B9BD5"/>
          </w:tcPr>
          <w:p w14:paraId="336DC0E6" w14:textId="77777777" w:rsidR="00A24865" w:rsidRDefault="00A24865" w:rsidP="001410E4">
            <w:pPr>
              <w:pStyle w:val="Normal1"/>
              <w:jc w:val="center"/>
              <w:rPr>
                <w:color w:val="FFFFFF"/>
              </w:rPr>
            </w:pPr>
            <w:r>
              <w:rPr>
                <w:b/>
                <w:color w:val="FFFFFF"/>
              </w:rPr>
              <w:t>ITEM</w:t>
            </w:r>
          </w:p>
        </w:tc>
        <w:tc>
          <w:tcPr>
            <w:tcW w:w="1620" w:type="dxa"/>
            <w:tcBorders>
              <w:top w:val="single" w:sz="4" w:space="0" w:color="5B9BD5"/>
              <w:left w:val="nil"/>
              <w:bottom w:val="nil"/>
              <w:right w:val="nil"/>
            </w:tcBorders>
            <w:shd w:val="clear" w:color="auto" w:fill="5B9BD5"/>
          </w:tcPr>
          <w:p w14:paraId="148E0C60" w14:textId="77777777" w:rsidR="00A24865" w:rsidRDefault="00A24865" w:rsidP="001410E4">
            <w:pPr>
              <w:pStyle w:val="Normal1"/>
              <w:jc w:val="center"/>
              <w:rPr>
                <w:color w:val="FFFFFF"/>
              </w:rPr>
            </w:pPr>
            <w:r>
              <w:rPr>
                <w:b/>
                <w:color w:val="FFFFFF"/>
              </w:rPr>
              <w:t>Amount Debited        ($$ spent)</w:t>
            </w:r>
          </w:p>
        </w:tc>
        <w:tc>
          <w:tcPr>
            <w:tcW w:w="1410" w:type="dxa"/>
            <w:tcBorders>
              <w:top w:val="single" w:sz="4" w:space="0" w:color="5B9BD5"/>
              <w:left w:val="nil"/>
              <w:bottom w:val="nil"/>
              <w:right w:val="nil"/>
            </w:tcBorders>
            <w:shd w:val="clear" w:color="auto" w:fill="5B9BD5"/>
          </w:tcPr>
          <w:p w14:paraId="287D8A08" w14:textId="77777777" w:rsidR="00A24865" w:rsidRDefault="00A24865" w:rsidP="001410E4">
            <w:pPr>
              <w:pStyle w:val="Normal1"/>
              <w:jc w:val="center"/>
              <w:rPr>
                <w:color w:val="FFFFFF"/>
              </w:rPr>
            </w:pPr>
            <w:r>
              <w:rPr>
                <w:b/>
                <w:color w:val="FFFFFF"/>
              </w:rPr>
              <w:t>Amount Credited      ($$ raised)</w:t>
            </w:r>
          </w:p>
        </w:tc>
        <w:tc>
          <w:tcPr>
            <w:tcW w:w="1560" w:type="dxa"/>
            <w:tcBorders>
              <w:top w:val="single" w:sz="4" w:space="0" w:color="5B9BD5"/>
              <w:left w:val="nil"/>
              <w:bottom w:val="nil"/>
              <w:right w:val="nil"/>
            </w:tcBorders>
            <w:shd w:val="clear" w:color="auto" w:fill="5B9BD5"/>
          </w:tcPr>
          <w:p w14:paraId="73250F7F" w14:textId="77777777" w:rsidR="00A24865" w:rsidRDefault="00A24865" w:rsidP="001410E4">
            <w:pPr>
              <w:pStyle w:val="Normal1"/>
              <w:jc w:val="center"/>
              <w:rPr>
                <w:color w:val="FFFFFF"/>
              </w:rPr>
            </w:pPr>
            <w:r>
              <w:rPr>
                <w:b/>
                <w:color w:val="FFFFFF"/>
              </w:rPr>
              <w:t>Balance</w:t>
            </w:r>
          </w:p>
        </w:tc>
        <w:tc>
          <w:tcPr>
            <w:tcW w:w="1965" w:type="dxa"/>
            <w:tcBorders>
              <w:top w:val="single" w:sz="4" w:space="0" w:color="5B9BD5"/>
              <w:left w:val="nil"/>
              <w:bottom w:val="nil"/>
              <w:right w:val="single" w:sz="4" w:space="0" w:color="5B9BD5"/>
            </w:tcBorders>
            <w:shd w:val="clear" w:color="auto" w:fill="5B9BD5"/>
          </w:tcPr>
          <w:p w14:paraId="6FD07CFC" w14:textId="77777777" w:rsidR="00A24865" w:rsidRDefault="00A24865" w:rsidP="001410E4">
            <w:pPr>
              <w:pStyle w:val="Normal1"/>
              <w:jc w:val="center"/>
              <w:rPr>
                <w:color w:val="FFFFFF"/>
              </w:rPr>
            </w:pPr>
            <w:r>
              <w:rPr>
                <w:b/>
                <w:color w:val="FFFFFF"/>
              </w:rPr>
              <w:t>Comment</w:t>
            </w:r>
          </w:p>
        </w:tc>
      </w:tr>
      <w:tr w:rsidR="00A24865" w14:paraId="2D6E03EA" w14:textId="77777777" w:rsidTr="001410E4">
        <w:trPr>
          <w:trHeight w:val="300"/>
        </w:trPr>
        <w:tc>
          <w:tcPr>
            <w:tcW w:w="3735" w:type="dxa"/>
            <w:tcBorders>
              <w:top w:val="single" w:sz="4" w:space="0" w:color="5B9BD5"/>
              <w:left w:val="single" w:sz="4" w:space="0" w:color="5B9BD5"/>
              <w:bottom w:val="nil"/>
              <w:right w:val="nil"/>
            </w:tcBorders>
          </w:tcPr>
          <w:p w14:paraId="3E8D98B9" w14:textId="77777777" w:rsidR="00A24865" w:rsidRDefault="00A24865" w:rsidP="001410E4">
            <w:pPr>
              <w:pStyle w:val="Normal1"/>
              <w:jc w:val="center"/>
            </w:pPr>
          </w:p>
        </w:tc>
        <w:tc>
          <w:tcPr>
            <w:tcW w:w="1620" w:type="dxa"/>
            <w:tcBorders>
              <w:top w:val="single" w:sz="4" w:space="0" w:color="5B9BD5"/>
              <w:left w:val="nil"/>
              <w:bottom w:val="nil"/>
              <w:right w:val="nil"/>
            </w:tcBorders>
          </w:tcPr>
          <w:p w14:paraId="5928CA85" w14:textId="77777777" w:rsidR="00A24865" w:rsidRDefault="00A24865" w:rsidP="001410E4">
            <w:pPr>
              <w:pStyle w:val="Normal1"/>
              <w:jc w:val="center"/>
            </w:pPr>
          </w:p>
        </w:tc>
        <w:tc>
          <w:tcPr>
            <w:tcW w:w="1410" w:type="dxa"/>
            <w:tcBorders>
              <w:top w:val="single" w:sz="4" w:space="0" w:color="5B9BD5"/>
              <w:left w:val="nil"/>
              <w:bottom w:val="nil"/>
              <w:right w:val="nil"/>
            </w:tcBorders>
          </w:tcPr>
          <w:p w14:paraId="0CEE3DF1" w14:textId="77777777" w:rsidR="00A24865" w:rsidRDefault="00A24865" w:rsidP="001410E4">
            <w:pPr>
              <w:pStyle w:val="Normal1"/>
              <w:jc w:val="center"/>
            </w:pPr>
          </w:p>
        </w:tc>
        <w:tc>
          <w:tcPr>
            <w:tcW w:w="1560" w:type="dxa"/>
            <w:tcBorders>
              <w:top w:val="single" w:sz="4" w:space="0" w:color="5B9BD5"/>
              <w:left w:val="nil"/>
              <w:bottom w:val="nil"/>
              <w:right w:val="nil"/>
            </w:tcBorders>
          </w:tcPr>
          <w:p w14:paraId="2ACAF010" w14:textId="77777777" w:rsidR="00A24865" w:rsidRDefault="00A24865" w:rsidP="001410E4">
            <w:pPr>
              <w:pStyle w:val="Normal1"/>
              <w:jc w:val="center"/>
            </w:pPr>
          </w:p>
        </w:tc>
        <w:tc>
          <w:tcPr>
            <w:tcW w:w="1965" w:type="dxa"/>
            <w:tcBorders>
              <w:top w:val="single" w:sz="4" w:space="0" w:color="5B9BD5"/>
              <w:left w:val="nil"/>
              <w:bottom w:val="nil"/>
              <w:right w:val="single" w:sz="4" w:space="0" w:color="5B9BD5"/>
            </w:tcBorders>
          </w:tcPr>
          <w:p w14:paraId="4668616A" w14:textId="77777777" w:rsidR="00A24865" w:rsidRDefault="00A24865" w:rsidP="001410E4">
            <w:pPr>
              <w:pStyle w:val="Normal1"/>
              <w:jc w:val="center"/>
            </w:pPr>
          </w:p>
        </w:tc>
      </w:tr>
      <w:tr w:rsidR="00A24865" w14:paraId="564C059A" w14:textId="77777777" w:rsidTr="001410E4">
        <w:trPr>
          <w:trHeight w:val="300"/>
        </w:trPr>
        <w:tc>
          <w:tcPr>
            <w:tcW w:w="3735" w:type="dxa"/>
            <w:tcBorders>
              <w:top w:val="single" w:sz="4" w:space="0" w:color="5B9BD5"/>
              <w:left w:val="single" w:sz="4" w:space="0" w:color="5B9BD5"/>
              <w:bottom w:val="nil"/>
              <w:right w:val="nil"/>
            </w:tcBorders>
          </w:tcPr>
          <w:p w14:paraId="7098EAC4" w14:textId="77777777" w:rsidR="00A24865" w:rsidRDefault="00A24865" w:rsidP="001410E4">
            <w:pPr>
              <w:pStyle w:val="Normal1"/>
            </w:pPr>
            <w:r>
              <w:rPr>
                <w:b/>
              </w:rPr>
              <w:t>Balance forward</w:t>
            </w:r>
          </w:p>
        </w:tc>
        <w:tc>
          <w:tcPr>
            <w:tcW w:w="1620" w:type="dxa"/>
            <w:tcBorders>
              <w:top w:val="single" w:sz="4" w:space="0" w:color="5B9BD5"/>
              <w:left w:val="nil"/>
              <w:bottom w:val="nil"/>
              <w:right w:val="nil"/>
            </w:tcBorders>
          </w:tcPr>
          <w:p w14:paraId="35735B56" w14:textId="77777777" w:rsidR="00A24865" w:rsidRDefault="00A24865" w:rsidP="001410E4">
            <w:pPr>
              <w:pStyle w:val="Normal1"/>
              <w:jc w:val="center"/>
            </w:pPr>
          </w:p>
        </w:tc>
        <w:tc>
          <w:tcPr>
            <w:tcW w:w="1410" w:type="dxa"/>
            <w:tcBorders>
              <w:top w:val="single" w:sz="4" w:space="0" w:color="5B9BD5"/>
              <w:left w:val="nil"/>
              <w:bottom w:val="nil"/>
              <w:right w:val="nil"/>
            </w:tcBorders>
          </w:tcPr>
          <w:p w14:paraId="2583CF15" w14:textId="77777777" w:rsidR="00A24865" w:rsidRDefault="00A24865" w:rsidP="001410E4">
            <w:pPr>
              <w:pStyle w:val="Normal1"/>
            </w:pPr>
          </w:p>
        </w:tc>
        <w:tc>
          <w:tcPr>
            <w:tcW w:w="1560" w:type="dxa"/>
            <w:tcBorders>
              <w:top w:val="single" w:sz="4" w:space="0" w:color="5B9BD5"/>
              <w:left w:val="nil"/>
              <w:bottom w:val="nil"/>
              <w:right w:val="nil"/>
            </w:tcBorders>
          </w:tcPr>
          <w:p w14:paraId="4CAC0E21" w14:textId="77777777" w:rsidR="00A24865" w:rsidRDefault="00A24865" w:rsidP="001410E4">
            <w:pPr>
              <w:pStyle w:val="Normal1"/>
            </w:pPr>
            <w:r>
              <w:t xml:space="preserve"> $3,820.44</w:t>
            </w:r>
          </w:p>
        </w:tc>
        <w:tc>
          <w:tcPr>
            <w:tcW w:w="1965" w:type="dxa"/>
            <w:tcBorders>
              <w:top w:val="single" w:sz="4" w:space="0" w:color="5B9BD5"/>
              <w:left w:val="nil"/>
              <w:bottom w:val="nil"/>
              <w:right w:val="single" w:sz="4" w:space="0" w:color="5B9BD5"/>
            </w:tcBorders>
          </w:tcPr>
          <w:p w14:paraId="7FA6D5FC" w14:textId="77777777" w:rsidR="00A24865" w:rsidRDefault="00A24865" w:rsidP="001410E4">
            <w:pPr>
              <w:pStyle w:val="Normal1"/>
            </w:pPr>
            <w:r>
              <w:t>Balance from</w:t>
            </w:r>
          </w:p>
          <w:p w14:paraId="3E6C281F" w14:textId="77777777" w:rsidR="00A24865" w:rsidRDefault="00A24865" w:rsidP="001410E4">
            <w:pPr>
              <w:pStyle w:val="Normal1"/>
            </w:pPr>
            <w:r>
              <w:t>Last year</w:t>
            </w:r>
          </w:p>
        </w:tc>
      </w:tr>
      <w:tr w:rsidR="00A24865" w14:paraId="29E7D6B2" w14:textId="77777777" w:rsidTr="001410E4">
        <w:trPr>
          <w:trHeight w:val="300"/>
        </w:trPr>
        <w:tc>
          <w:tcPr>
            <w:tcW w:w="3735" w:type="dxa"/>
            <w:tcBorders>
              <w:top w:val="single" w:sz="4" w:space="0" w:color="5B9BD5"/>
              <w:left w:val="single" w:sz="4" w:space="0" w:color="5B9BD5"/>
              <w:bottom w:val="nil"/>
              <w:right w:val="nil"/>
            </w:tcBorders>
          </w:tcPr>
          <w:p w14:paraId="3D7FC4B4" w14:textId="77777777" w:rsidR="00A24865" w:rsidRDefault="00A24865" w:rsidP="001410E4">
            <w:pPr>
              <w:pStyle w:val="Normal1"/>
            </w:pPr>
            <w:r>
              <w:rPr>
                <w:b/>
              </w:rPr>
              <w:t>National report</w:t>
            </w:r>
          </w:p>
        </w:tc>
        <w:tc>
          <w:tcPr>
            <w:tcW w:w="1620" w:type="dxa"/>
            <w:tcBorders>
              <w:top w:val="single" w:sz="4" w:space="0" w:color="5B9BD5"/>
              <w:left w:val="nil"/>
              <w:bottom w:val="nil"/>
              <w:right w:val="nil"/>
            </w:tcBorders>
          </w:tcPr>
          <w:p w14:paraId="69AA0C79" w14:textId="77777777" w:rsidR="00A24865" w:rsidRDefault="00A24865" w:rsidP="001410E4">
            <w:pPr>
              <w:pStyle w:val="Normal1"/>
              <w:jc w:val="center"/>
            </w:pPr>
            <w:r>
              <w:t>$1690.00</w:t>
            </w:r>
          </w:p>
        </w:tc>
        <w:tc>
          <w:tcPr>
            <w:tcW w:w="1410" w:type="dxa"/>
            <w:tcBorders>
              <w:top w:val="single" w:sz="4" w:space="0" w:color="5B9BD5"/>
              <w:left w:val="nil"/>
              <w:bottom w:val="nil"/>
              <w:right w:val="nil"/>
            </w:tcBorders>
          </w:tcPr>
          <w:p w14:paraId="3BAD6B0E" w14:textId="77777777" w:rsidR="00A24865" w:rsidRDefault="00A24865" w:rsidP="001410E4">
            <w:pPr>
              <w:pStyle w:val="Normal1"/>
              <w:jc w:val="right"/>
            </w:pPr>
          </w:p>
        </w:tc>
        <w:tc>
          <w:tcPr>
            <w:tcW w:w="1560" w:type="dxa"/>
            <w:tcBorders>
              <w:top w:val="single" w:sz="4" w:space="0" w:color="5B9BD5"/>
              <w:left w:val="nil"/>
              <w:bottom w:val="nil"/>
              <w:right w:val="nil"/>
            </w:tcBorders>
          </w:tcPr>
          <w:p w14:paraId="06F0BD8C" w14:textId="77777777" w:rsidR="00A24865" w:rsidRDefault="00A24865" w:rsidP="001410E4">
            <w:pPr>
              <w:pStyle w:val="Normal1"/>
              <w:jc w:val="right"/>
            </w:pPr>
          </w:p>
        </w:tc>
        <w:tc>
          <w:tcPr>
            <w:tcW w:w="1965" w:type="dxa"/>
            <w:tcBorders>
              <w:top w:val="single" w:sz="4" w:space="0" w:color="5B9BD5"/>
              <w:left w:val="nil"/>
              <w:bottom w:val="nil"/>
              <w:right w:val="single" w:sz="4" w:space="0" w:color="5B9BD5"/>
            </w:tcBorders>
          </w:tcPr>
          <w:p w14:paraId="5CA465F2" w14:textId="77777777" w:rsidR="00A24865" w:rsidRDefault="00A24865" w:rsidP="001410E4">
            <w:pPr>
              <w:pStyle w:val="Normal1"/>
            </w:pPr>
          </w:p>
        </w:tc>
      </w:tr>
      <w:tr w:rsidR="00A24865" w14:paraId="484F9977" w14:textId="77777777" w:rsidTr="001410E4">
        <w:trPr>
          <w:trHeight w:val="300"/>
        </w:trPr>
        <w:tc>
          <w:tcPr>
            <w:tcW w:w="3735" w:type="dxa"/>
            <w:tcBorders>
              <w:top w:val="single" w:sz="4" w:space="0" w:color="5B9BD5"/>
              <w:left w:val="single" w:sz="4" w:space="0" w:color="5B9BD5"/>
              <w:bottom w:val="nil"/>
              <w:right w:val="nil"/>
            </w:tcBorders>
          </w:tcPr>
          <w:p w14:paraId="3E244614" w14:textId="77777777" w:rsidR="00A24865" w:rsidRDefault="00A24865" w:rsidP="001410E4">
            <w:pPr>
              <w:pStyle w:val="Normal1"/>
            </w:pPr>
            <w:r>
              <w:rPr>
                <w:b/>
              </w:rPr>
              <w:t>Certificate/pin replacements</w:t>
            </w:r>
          </w:p>
        </w:tc>
        <w:tc>
          <w:tcPr>
            <w:tcW w:w="1620" w:type="dxa"/>
            <w:tcBorders>
              <w:top w:val="single" w:sz="4" w:space="0" w:color="5B9BD5"/>
              <w:left w:val="nil"/>
              <w:bottom w:val="nil"/>
              <w:right w:val="nil"/>
            </w:tcBorders>
          </w:tcPr>
          <w:p w14:paraId="10A137D3" w14:textId="77777777" w:rsidR="00A24865" w:rsidRDefault="00A24865" w:rsidP="001410E4">
            <w:pPr>
              <w:pStyle w:val="Normal1"/>
              <w:jc w:val="center"/>
            </w:pPr>
            <w:r>
              <w:t>$285</w:t>
            </w:r>
          </w:p>
        </w:tc>
        <w:tc>
          <w:tcPr>
            <w:tcW w:w="1410" w:type="dxa"/>
            <w:tcBorders>
              <w:top w:val="single" w:sz="4" w:space="0" w:color="5B9BD5"/>
              <w:left w:val="nil"/>
              <w:bottom w:val="nil"/>
              <w:right w:val="nil"/>
            </w:tcBorders>
          </w:tcPr>
          <w:p w14:paraId="13E742DE" w14:textId="77777777" w:rsidR="00A24865" w:rsidRDefault="00A24865" w:rsidP="001410E4">
            <w:pPr>
              <w:pStyle w:val="Normal1"/>
              <w:jc w:val="right"/>
            </w:pPr>
          </w:p>
        </w:tc>
        <w:tc>
          <w:tcPr>
            <w:tcW w:w="1560" w:type="dxa"/>
            <w:tcBorders>
              <w:top w:val="single" w:sz="4" w:space="0" w:color="5B9BD5"/>
              <w:left w:val="nil"/>
              <w:bottom w:val="nil"/>
              <w:right w:val="nil"/>
            </w:tcBorders>
          </w:tcPr>
          <w:p w14:paraId="29FCEE61" w14:textId="77777777" w:rsidR="00A24865" w:rsidRDefault="00A24865" w:rsidP="001410E4">
            <w:pPr>
              <w:pStyle w:val="Normal1"/>
              <w:jc w:val="right"/>
            </w:pPr>
          </w:p>
        </w:tc>
        <w:tc>
          <w:tcPr>
            <w:tcW w:w="1965" w:type="dxa"/>
            <w:tcBorders>
              <w:top w:val="single" w:sz="4" w:space="0" w:color="5B9BD5"/>
              <w:left w:val="nil"/>
              <w:bottom w:val="nil"/>
              <w:right w:val="single" w:sz="4" w:space="0" w:color="5B9BD5"/>
            </w:tcBorders>
          </w:tcPr>
          <w:p w14:paraId="6751CDC3" w14:textId="77777777" w:rsidR="00A24865" w:rsidRDefault="00A24865" w:rsidP="001410E4">
            <w:pPr>
              <w:pStyle w:val="Normal1"/>
            </w:pPr>
          </w:p>
        </w:tc>
      </w:tr>
      <w:tr w:rsidR="00A24865" w14:paraId="0D6528A9" w14:textId="77777777" w:rsidTr="001410E4">
        <w:trPr>
          <w:trHeight w:val="380"/>
        </w:trPr>
        <w:tc>
          <w:tcPr>
            <w:tcW w:w="3735" w:type="dxa"/>
            <w:tcBorders>
              <w:top w:val="single" w:sz="4" w:space="0" w:color="5B9BD5"/>
              <w:left w:val="single" w:sz="4" w:space="0" w:color="5B9BD5"/>
              <w:bottom w:val="nil"/>
              <w:right w:val="nil"/>
            </w:tcBorders>
          </w:tcPr>
          <w:p w14:paraId="30BF4C17" w14:textId="77777777" w:rsidR="00A24865" w:rsidRDefault="00A24865" w:rsidP="001410E4">
            <w:pPr>
              <w:pStyle w:val="Normal1"/>
              <w:rPr>
                <w:b/>
              </w:rPr>
            </w:pPr>
            <w:r>
              <w:rPr>
                <w:b/>
              </w:rPr>
              <w:t>Initiation banquet</w:t>
            </w:r>
          </w:p>
        </w:tc>
        <w:tc>
          <w:tcPr>
            <w:tcW w:w="1620" w:type="dxa"/>
            <w:tcBorders>
              <w:top w:val="single" w:sz="4" w:space="0" w:color="5B9BD5"/>
              <w:left w:val="nil"/>
              <w:bottom w:val="nil"/>
              <w:right w:val="nil"/>
            </w:tcBorders>
          </w:tcPr>
          <w:p w14:paraId="35D6CA60" w14:textId="77777777" w:rsidR="00A24865" w:rsidRDefault="00A24865" w:rsidP="001410E4">
            <w:pPr>
              <w:pStyle w:val="Normal1"/>
              <w:jc w:val="center"/>
            </w:pPr>
            <w:r>
              <w:t>$616</w:t>
            </w:r>
          </w:p>
        </w:tc>
        <w:tc>
          <w:tcPr>
            <w:tcW w:w="1410" w:type="dxa"/>
            <w:tcBorders>
              <w:top w:val="single" w:sz="4" w:space="0" w:color="5B9BD5"/>
              <w:left w:val="nil"/>
              <w:bottom w:val="nil"/>
              <w:right w:val="nil"/>
            </w:tcBorders>
          </w:tcPr>
          <w:p w14:paraId="0C1E8B50" w14:textId="77777777" w:rsidR="00A24865" w:rsidRDefault="00A24865" w:rsidP="001410E4">
            <w:pPr>
              <w:pStyle w:val="Normal1"/>
            </w:pPr>
          </w:p>
        </w:tc>
        <w:tc>
          <w:tcPr>
            <w:tcW w:w="1560" w:type="dxa"/>
            <w:tcBorders>
              <w:top w:val="single" w:sz="4" w:space="0" w:color="5B9BD5"/>
              <w:left w:val="nil"/>
              <w:bottom w:val="nil"/>
              <w:right w:val="nil"/>
            </w:tcBorders>
          </w:tcPr>
          <w:p w14:paraId="0AD325A7" w14:textId="77777777" w:rsidR="00A24865" w:rsidRDefault="00A24865" w:rsidP="001410E4">
            <w:pPr>
              <w:pStyle w:val="Normal1"/>
              <w:jc w:val="right"/>
            </w:pPr>
          </w:p>
        </w:tc>
        <w:tc>
          <w:tcPr>
            <w:tcW w:w="1965" w:type="dxa"/>
            <w:tcBorders>
              <w:top w:val="single" w:sz="4" w:space="0" w:color="5B9BD5"/>
              <w:left w:val="nil"/>
              <w:bottom w:val="nil"/>
              <w:right w:val="single" w:sz="4" w:space="0" w:color="5B9BD5"/>
            </w:tcBorders>
          </w:tcPr>
          <w:p w14:paraId="615823E0" w14:textId="77777777" w:rsidR="00A24865" w:rsidRDefault="00A24865" w:rsidP="001410E4">
            <w:pPr>
              <w:pStyle w:val="Normal1"/>
            </w:pPr>
          </w:p>
        </w:tc>
      </w:tr>
      <w:tr w:rsidR="00A24865" w14:paraId="1D5DACD9" w14:textId="77777777" w:rsidTr="001410E4">
        <w:trPr>
          <w:trHeight w:val="300"/>
        </w:trPr>
        <w:tc>
          <w:tcPr>
            <w:tcW w:w="3735" w:type="dxa"/>
            <w:tcBorders>
              <w:top w:val="single" w:sz="4" w:space="0" w:color="5B9BD5"/>
              <w:left w:val="single" w:sz="4" w:space="0" w:color="5B9BD5"/>
              <w:bottom w:val="nil"/>
              <w:right w:val="nil"/>
            </w:tcBorders>
          </w:tcPr>
          <w:p w14:paraId="7CD59E87" w14:textId="77777777" w:rsidR="00A24865" w:rsidRDefault="00A24865" w:rsidP="001410E4">
            <w:pPr>
              <w:pStyle w:val="Normal1"/>
              <w:rPr>
                <w:b/>
              </w:rPr>
            </w:pPr>
            <w:r>
              <w:rPr>
                <w:b/>
              </w:rPr>
              <w:t>P1 meet and greet snacks</w:t>
            </w:r>
          </w:p>
        </w:tc>
        <w:tc>
          <w:tcPr>
            <w:tcW w:w="1620" w:type="dxa"/>
            <w:tcBorders>
              <w:top w:val="single" w:sz="4" w:space="0" w:color="5B9BD5"/>
              <w:left w:val="nil"/>
              <w:bottom w:val="nil"/>
              <w:right w:val="nil"/>
            </w:tcBorders>
          </w:tcPr>
          <w:p w14:paraId="2A2F97A8" w14:textId="77777777" w:rsidR="00A24865" w:rsidRDefault="00A24865" w:rsidP="001410E4">
            <w:pPr>
              <w:pStyle w:val="Normal1"/>
              <w:jc w:val="center"/>
            </w:pPr>
            <w:r>
              <w:t>$150</w:t>
            </w:r>
          </w:p>
        </w:tc>
        <w:tc>
          <w:tcPr>
            <w:tcW w:w="1410" w:type="dxa"/>
            <w:tcBorders>
              <w:top w:val="single" w:sz="4" w:space="0" w:color="5B9BD5"/>
              <w:left w:val="nil"/>
              <w:bottom w:val="nil"/>
              <w:right w:val="nil"/>
            </w:tcBorders>
          </w:tcPr>
          <w:p w14:paraId="7ED9D02F" w14:textId="77777777" w:rsidR="00A24865" w:rsidRDefault="00A24865" w:rsidP="001410E4">
            <w:pPr>
              <w:pStyle w:val="Normal1"/>
            </w:pPr>
          </w:p>
        </w:tc>
        <w:tc>
          <w:tcPr>
            <w:tcW w:w="1560" w:type="dxa"/>
            <w:tcBorders>
              <w:top w:val="single" w:sz="4" w:space="0" w:color="5B9BD5"/>
              <w:left w:val="nil"/>
              <w:bottom w:val="nil"/>
              <w:right w:val="nil"/>
            </w:tcBorders>
          </w:tcPr>
          <w:p w14:paraId="05149835" w14:textId="77777777" w:rsidR="00A24865" w:rsidRDefault="00A24865" w:rsidP="001410E4">
            <w:pPr>
              <w:pStyle w:val="Normal1"/>
            </w:pPr>
          </w:p>
        </w:tc>
        <w:tc>
          <w:tcPr>
            <w:tcW w:w="1965" w:type="dxa"/>
            <w:tcBorders>
              <w:top w:val="single" w:sz="4" w:space="0" w:color="5B9BD5"/>
              <w:left w:val="nil"/>
              <w:bottom w:val="nil"/>
              <w:right w:val="single" w:sz="4" w:space="0" w:color="5B9BD5"/>
            </w:tcBorders>
          </w:tcPr>
          <w:p w14:paraId="021FE9EC" w14:textId="77777777" w:rsidR="00A24865" w:rsidRDefault="00A24865" w:rsidP="001410E4">
            <w:pPr>
              <w:pStyle w:val="Normal1"/>
            </w:pPr>
          </w:p>
        </w:tc>
      </w:tr>
      <w:tr w:rsidR="00A24865" w14:paraId="39D4267F" w14:textId="77777777" w:rsidTr="001410E4">
        <w:trPr>
          <w:trHeight w:val="300"/>
        </w:trPr>
        <w:tc>
          <w:tcPr>
            <w:tcW w:w="3735" w:type="dxa"/>
            <w:tcBorders>
              <w:top w:val="single" w:sz="4" w:space="0" w:color="5B9BD5"/>
              <w:left w:val="single" w:sz="4" w:space="0" w:color="5B9BD5"/>
              <w:bottom w:val="nil"/>
              <w:right w:val="nil"/>
            </w:tcBorders>
          </w:tcPr>
          <w:p w14:paraId="2DBCB775" w14:textId="77777777" w:rsidR="00A24865" w:rsidRDefault="00A24865" w:rsidP="001410E4">
            <w:pPr>
              <w:pStyle w:val="Normal1"/>
              <w:rPr>
                <w:b/>
              </w:rPr>
            </w:pPr>
            <w:r>
              <w:rPr>
                <w:b/>
              </w:rPr>
              <w:t>Pt presentation printing</w:t>
            </w:r>
          </w:p>
        </w:tc>
        <w:tc>
          <w:tcPr>
            <w:tcW w:w="1620" w:type="dxa"/>
            <w:tcBorders>
              <w:top w:val="single" w:sz="4" w:space="0" w:color="5B9BD5"/>
              <w:left w:val="nil"/>
              <w:bottom w:val="nil"/>
              <w:right w:val="nil"/>
            </w:tcBorders>
          </w:tcPr>
          <w:p w14:paraId="3BD6DDF1" w14:textId="77777777" w:rsidR="00A24865" w:rsidRDefault="00A24865" w:rsidP="001410E4">
            <w:pPr>
              <w:pStyle w:val="Normal1"/>
              <w:jc w:val="center"/>
            </w:pPr>
            <w:r>
              <w:t>$26.25</w:t>
            </w:r>
          </w:p>
        </w:tc>
        <w:tc>
          <w:tcPr>
            <w:tcW w:w="1410" w:type="dxa"/>
            <w:tcBorders>
              <w:top w:val="single" w:sz="4" w:space="0" w:color="5B9BD5"/>
              <w:left w:val="nil"/>
              <w:bottom w:val="nil"/>
              <w:right w:val="nil"/>
            </w:tcBorders>
          </w:tcPr>
          <w:p w14:paraId="3D0D499B" w14:textId="77777777" w:rsidR="00A24865" w:rsidRDefault="00A24865" w:rsidP="001410E4">
            <w:pPr>
              <w:pStyle w:val="Normal1"/>
            </w:pPr>
          </w:p>
        </w:tc>
        <w:tc>
          <w:tcPr>
            <w:tcW w:w="1560" w:type="dxa"/>
            <w:tcBorders>
              <w:top w:val="single" w:sz="4" w:space="0" w:color="5B9BD5"/>
              <w:left w:val="nil"/>
              <w:bottom w:val="nil"/>
              <w:right w:val="nil"/>
            </w:tcBorders>
          </w:tcPr>
          <w:p w14:paraId="41CD9E18" w14:textId="77777777" w:rsidR="00A24865" w:rsidRDefault="00A24865" w:rsidP="001410E4">
            <w:pPr>
              <w:pStyle w:val="Normal1"/>
            </w:pPr>
          </w:p>
        </w:tc>
        <w:tc>
          <w:tcPr>
            <w:tcW w:w="1965" w:type="dxa"/>
            <w:tcBorders>
              <w:top w:val="single" w:sz="4" w:space="0" w:color="5B9BD5"/>
              <w:left w:val="nil"/>
              <w:bottom w:val="nil"/>
              <w:right w:val="single" w:sz="4" w:space="0" w:color="5B9BD5"/>
            </w:tcBorders>
          </w:tcPr>
          <w:p w14:paraId="0836CFF2" w14:textId="77777777" w:rsidR="00A24865" w:rsidRDefault="00A24865" w:rsidP="001410E4">
            <w:pPr>
              <w:pStyle w:val="Normal1"/>
            </w:pPr>
          </w:p>
        </w:tc>
      </w:tr>
      <w:tr w:rsidR="00A24865" w14:paraId="69B963FA" w14:textId="77777777" w:rsidTr="001410E4">
        <w:trPr>
          <w:trHeight w:val="300"/>
        </w:trPr>
        <w:tc>
          <w:tcPr>
            <w:tcW w:w="3735" w:type="dxa"/>
            <w:tcBorders>
              <w:top w:val="single" w:sz="4" w:space="0" w:color="5B9BD5"/>
              <w:left w:val="single" w:sz="4" w:space="0" w:color="5B9BD5"/>
              <w:bottom w:val="nil"/>
              <w:right w:val="nil"/>
            </w:tcBorders>
          </w:tcPr>
          <w:p w14:paraId="1AD596BA" w14:textId="77777777" w:rsidR="00A24865" w:rsidRDefault="00A24865" w:rsidP="001410E4">
            <w:pPr>
              <w:pStyle w:val="Normal1"/>
              <w:rPr>
                <w:b/>
              </w:rPr>
            </w:pPr>
            <w:r>
              <w:rPr>
                <w:b/>
              </w:rPr>
              <w:t>APhA Conference</w:t>
            </w:r>
          </w:p>
        </w:tc>
        <w:tc>
          <w:tcPr>
            <w:tcW w:w="1620" w:type="dxa"/>
            <w:tcBorders>
              <w:top w:val="single" w:sz="4" w:space="0" w:color="5B9BD5"/>
              <w:left w:val="nil"/>
              <w:bottom w:val="nil"/>
              <w:right w:val="nil"/>
            </w:tcBorders>
          </w:tcPr>
          <w:p w14:paraId="0F042714" w14:textId="77777777" w:rsidR="00A24865" w:rsidRDefault="00A24865" w:rsidP="001410E4">
            <w:pPr>
              <w:pStyle w:val="Normal1"/>
              <w:jc w:val="center"/>
            </w:pPr>
            <w:r>
              <w:t>$335</w:t>
            </w:r>
          </w:p>
        </w:tc>
        <w:tc>
          <w:tcPr>
            <w:tcW w:w="1410" w:type="dxa"/>
            <w:tcBorders>
              <w:top w:val="single" w:sz="4" w:space="0" w:color="5B9BD5"/>
              <w:left w:val="nil"/>
              <w:bottom w:val="nil"/>
              <w:right w:val="nil"/>
            </w:tcBorders>
          </w:tcPr>
          <w:p w14:paraId="2D5BE503" w14:textId="77777777" w:rsidR="00A24865" w:rsidRDefault="00A24865" w:rsidP="001410E4">
            <w:pPr>
              <w:pStyle w:val="Normal1"/>
            </w:pPr>
          </w:p>
        </w:tc>
        <w:tc>
          <w:tcPr>
            <w:tcW w:w="1560" w:type="dxa"/>
            <w:tcBorders>
              <w:top w:val="single" w:sz="4" w:space="0" w:color="5B9BD5"/>
              <w:left w:val="nil"/>
              <w:bottom w:val="nil"/>
              <w:right w:val="nil"/>
            </w:tcBorders>
          </w:tcPr>
          <w:p w14:paraId="396D6727" w14:textId="77777777" w:rsidR="00A24865" w:rsidRDefault="00A24865" w:rsidP="001410E4">
            <w:pPr>
              <w:pStyle w:val="Normal1"/>
            </w:pPr>
          </w:p>
        </w:tc>
        <w:tc>
          <w:tcPr>
            <w:tcW w:w="1965" w:type="dxa"/>
            <w:tcBorders>
              <w:top w:val="single" w:sz="4" w:space="0" w:color="5B9BD5"/>
              <w:left w:val="nil"/>
              <w:bottom w:val="nil"/>
              <w:right w:val="single" w:sz="4" w:space="0" w:color="5B9BD5"/>
            </w:tcBorders>
          </w:tcPr>
          <w:p w14:paraId="351B0C73" w14:textId="77777777" w:rsidR="00A24865" w:rsidRDefault="00A24865" w:rsidP="001410E4">
            <w:pPr>
              <w:pStyle w:val="Normal1"/>
            </w:pPr>
          </w:p>
        </w:tc>
      </w:tr>
      <w:tr w:rsidR="00A24865" w14:paraId="1997C470" w14:textId="77777777" w:rsidTr="001410E4">
        <w:trPr>
          <w:trHeight w:val="300"/>
        </w:trPr>
        <w:tc>
          <w:tcPr>
            <w:tcW w:w="3735" w:type="dxa"/>
            <w:tcBorders>
              <w:top w:val="single" w:sz="4" w:space="0" w:color="5B9BD5"/>
              <w:left w:val="single" w:sz="4" w:space="0" w:color="5B9BD5"/>
              <w:bottom w:val="nil"/>
              <w:right w:val="nil"/>
            </w:tcBorders>
          </w:tcPr>
          <w:p w14:paraId="083D639C" w14:textId="77777777" w:rsidR="00A24865" w:rsidRDefault="00A24865" w:rsidP="001410E4">
            <w:pPr>
              <w:pStyle w:val="Normal1"/>
              <w:rPr>
                <w:b/>
              </w:rPr>
            </w:pPr>
            <w:r>
              <w:rPr>
                <w:b/>
              </w:rPr>
              <w:t>Board Retreat</w:t>
            </w:r>
          </w:p>
        </w:tc>
        <w:tc>
          <w:tcPr>
            <w:tcW w:w="1620" w:type="dxa"/>
            <w:tcBorders>
              <w:top w:val="single" w:sz="4" w:space="0" w:color="5B9BD5"/>
              <w:left w:val="nil"/>
              <w:bottom w:val="nil"/>
              <w:right w:val="nil"/>
            </w:tcBorders>
          </w:tcPr>
          <w:p w14:paraId="36231FD4" w14:textId="77777777" w:rsidR="00A24865" w:rsidRDefault="00A24865" w:rsidP="001410E4">
            <w:pPr>
              <w:pStyle w:val="Normal1"/>
              <w:jc w:val="center"/>
            </w:pPr>
            <w:r>
              <w:t>$299.08</w:t>
            </w:r>
          </w:p>
        </w:tc>
        <w:tc>
          <w:tcPr>
            <w:tcW w:w="1410" w:type="dxa"/>
            <w:tcBorders>
              <w:top w:val="single" w:sz="4" w:space="0" w:color="5B9BD5"/>
              <w:left w:val="nil"/>
              <w:bottom w:val="nil"/>
              <w:right w:val="nil"/>
            </w:tcBorders>
          </w:tcPr>
          <w:p w14:paraId="7C88DEC7" w14:textId="77777777" w:rsidR="00A24865" w:rsidRDefault="00A24865" w:rsidP="001410E4">
            <w:pPr>
              <w:pStyle w:val="Normal1"/>
            </w:pPr>
          </w:p>
        </w:tc>
        <w:tc>
          <w:tcPr>
            <w:tcW w:w="1560" w:type="dxa"/>
            <w:tcBorders>
              <w:top w:val="single" w:sz="4" w:space="0" w:color="5B9BD5"/>
              <w:left w:val="nil"/>
              <w:bottom w:val="nil"/>
              <w:right w:val="nil"/>
            </w:tcBorders>
          </w:tcPr>
          <w:p w14:paraId="29D78589" w14:textId="77777777" w:rsidR="00A24865" w:rsidRDefault="00A24865" w:rsidP="001410E4">
            <w:pPr>
              <w:pStyle w:val="Normal1"/>
            </w:pPr>
          </w:p>
        </w:tc>
        <w:tc>
          <w:tcPr>
            <w:tcW w:w="1965" w:type="dxa"/>
            <w:tcBorders>
              <w:top w:val="single" w:sz="4" w:space="0" w:color="5B9BD5"/>
              <w:left w:val="nil"/>
              <w:bottom w:val="nil"/>
              <w:right w:val="single" w:sz="4" w:space="0" w:color="5B9BD5"/>
            </w:tcBorders>
          </w:tcPr>
          <w:p w14:paraId="4C2A9B61" w14:textId="77777777" w:rsidR="00A24865" w:rsidRDefault="00A24865" w:rsidP="001410E4">
            <w:pPr>
              <w:pStyle w:val="Normal1"/>
            </w:pPr>
          </w:p>
        </w:tc>
      </w:tr>
      <w:tr w:rsidR="00A24865" w14:paraId="322C3273" w14:textId="77777777" w:rsidTr="001410E4">
        <w:trPr>
          <w:trHeight w:val="300"/>
        </w:trPr>
        <w:tc>
          <w:tcPr>
            <w:tcW w:w="3735" w:type="dxa"/>
            <w:tcBorders>
              <w:top w:val="single" w:sz="4" w:space="0" w:color="5B9BD5"/>
              <w:left w:val="single" w:sz="4" w:space="0" w:color="5B9BD5"/>
              <w:bottom w:val="nil"/>
              <w:right w:val="nil"/>
            </w:tcBorders>
          </w:tcPr>
          <w:p w14:paraId="6E57BB40" w14:textId="77777777" w:rsidR="00A24865" w:rsidRDefault="00A24865" w:rsidP="001410E4">
            <w:pPr>
              <w:pStyle w:val="Normal1"/>
              <w:rPr>
                <w:b/>
              </w:rPr>
            </w:pPr>
            <w:r>
              <w:rPr>
                <w:b/>
              </w:rPr>
              <w:t>Honor Cords</w:t>
            </w:r>
          </w:p>
        </w:tc>
        <w:tc>
          <w:tcPr>
            <w:tcW w:w="1620" w:type="dxa"/>
            <w:tcBorders>
              <w:top w:val="single" w:sz="4" w:space="0" w:color="5B9BD5"/>
              <w:left w:val="nil"/>
              <w:bottom w:val="nil"/>
              <w:right w:val="nil"/>
            </w:tcBorders>
          </w:tcPr>
          <w:p w14:paraId="36B779CA" w14:textId="77777777" w:rsidR="00A24865" w:rsidRDefault="00A24865" w:rsidP="001410E4">
            <w:pPr>
              <w:pStyle w:val="Normal1"/>
            </w:pPr>
            <w:r>
              <w:t xml:space="preserve">     $207.76</w:t>
            </w:r>
          </w:p>
        </w:tc>
        <w:tc>
          <w:tcPr>
            <w:tcW w:w="1410" w:type="dxa"/>
            <w:tcBorders>
              <w:top w:val="single" w:sz="4" w:space="0" w:color="5B9BD5"/>
              <w:left w:val="nil"/>
              <w:bottom w:val="nil"/>
              <w:right w:val="nil"/>
            </w:tcBorders>
          </w:tcPr>
          <w:p w14:paraId="37C817D2" w14:textId="77777777" w:rsidR="00A24865" w:rsidRDefault="00A24865" w:rsidP="001410E4">
            <w:pPr>
              <w:pStyle w:val="Normal1"/>
            </w:pPr>
            <w:r>
              <w:t>$104.24</w:t>
            </w:r>
          </w:p>
        </w:tc>
        <w:tc>
          <w:tcPr>
            <w:tcW w:w="1560" w:type="dxa"/>
            <w:tcBorders>
              <w:top w:val="single" w:sz="4" w:space="0" w:color="5B9BD5"/>
              <w:left w:val="nil"/>
              <w:bottom w:val="nil"/>
              <w:right w:val="nil"/>
            </w:tcBorders>
          </w:tcPr>
          <w:p w14:paraId="12469A2D" w14:textId="77777777" w:rsidR="00A24865" w:rsidRDefault="00A24865" w:rsidP="001410E4">
            <w:pPr>
              <w:pStyle w:val="Normal1"/>
            </w:pPr>
          </w:p>
        </w:tc>
        <w:tc>
          <w:tcPr>
            <w:tcW w:w="1965" w:type="dxa"/>
            <w:tcBorders>
              <w:top w:val="single" w:sz="4" w:space="0" w:color="5B9BD5"/>
              <w:left w:val="nil"/>
              <w:bottom w:val="nil"/>
              <w:right w:val="single" w:sz="4" w:space="0" w:color="5B9BD5"/>
            </w:tcBorders>
          </w:tcPr>
          <w:p w14:paraId="39955D61" w14:textId="77777777" w:rsidR="00A24865" w:rsidRDefault="00A24865" w:rsidP="001410E4">
            <w:pPr>
              <w:pStyle w:val="Normal1"/>
            </w:pPr>
          </w:p>
        </w:tc>
      </w:tr>
      <w:tr w:rsidR="00A24865" w14:paraId="2A3B6367" w14:textId="77777777" w:rsidTr="001410E4">
        <w:trPr>
          <w:trHeight w:val="300"/>
        </w:trPr>
        <w:tc>
          <w:tcPr>
            <w:tcW w:w="3735" w:type="dxa"/>
            <w:tcBorders>
              <w:top w:val="single" w:sz="4" w:space="0" w:color="5B9BD5"/>
              <w:left w:val="single" w:sz="4" w:space="0" w:color="5B9BD5"/>
              <w:bottom w:val="nil"/>
              <w:right w:val="nil"/>
            </w:tcBorders>
          </w:tcPr>
          <w:p w14:paraId="649821F1" w14:textId="77777777" w:rsidR="00A24865" w:rsidRDefault="00A24865" w:rsidP="001410E4">
            <w:pPr>
              <w:pStyle w:val="Normal1"/>
            </w:pPr>
          </w:p>
        </w:tc>
        <w:tc>
          <w:tcPr>
            <w:tcW w:w="1620" w:type="dxa"/>
            <w:tcBorders>
              <w:top w:val="single" w:sz="4" w:space="0" w:color="5B9BD5"/>
              <w:left w:val="nil"/>
              <w:bottom w:val="nil"/>
              <w:right w:val="nil"/>
            </w:tcBorders>
          </w:tcPr>
          <w:p w14:paraId="3B5B1549" w14:textId="77777777" w:rsidR="00A24865" w:rsidRDefault="00A24865" w:rsidP="001410E4">
            <w:pPr>
              <w:pStyle w:val="Normal1"/>
              <w:jc w:val="center"/>
            </w:pPr>
          </w:p>
        </w:tc>
        <w:tc>
          <w:tcPr>
            <w:tcW w:w="1410" w:type="dxa"/>
            <w:tcBorders>
              <w:top w:val="single" w:sz="4" w:space="0" w:color="5B9BD5"/>
              <w:left w:val="nil"/>
              <w:bottom w:val="nil"/>
              <w:right w:val="nil"/>
            </w:tcBorders>
          </w:tcPr>
          <w:p w14:paraId="304C593A" w14:textId="77777777" w:rsidR="00A24865" w:rsidRDefault="00A24865" w:rsidP="001410E4">
            <w:pPr>
              <w:pStyle w:val="Normal1"/>
            </w:pPr>
          </w:p>
        </w:tc>
        <w:tc>
          <w:tcPr>
            <w:tcW w:w="1560" w:type="dxa"/>
            <w:tcBorders>
              <w:top w:val="single" w:sz="4" w:space="0" w:color="5B9BD5"/>
              <w:left w:val="nil"/>
              <w:bottom w:val="nil"/>
              <w:right w:val="nil"/>
            </w:tcBorders>
          </w:tcPr>
          <w:p w14:paraId="7C07D963" w14:textId="77777777" w:rsidR="00A24865" w:rsidRDefault="00A24865" w:rsidP="001410E4">
            <w:pPr>
              <w:pStyle w:val="Normal1"/>
            </w:pPr>
            <w:r>
              <w:t>$523.35</w:t>
            </w:r>
          </w:p>
        </w:tc>
        <w:tc>
          <w:tcPr>
            <w:tcW w:w="1965" w:type="dxa"/>
            <w:tcBorders>
              <w:top w:val="single" w:sz="4" w:space="0" w:color="5B9BD5"/>
              <w:left w:val="nil"/>
              <w:bottom w:val="nil"/>
              <w:right w:val="single" w:sz="4" w:space="0" w:color="5B9BD5"/>
            </w:tcBorders>
          </w:tcPr>
          <w:p w14:paraId="542BAA91" w14:textId="77777777" w:rsidR="00A24865" w:rsidRDefault="00A24865" w:rsidP="001410E4">
            <w:pPr>
              <w:pStyle w:val="Normal1"/>
            </w:pPr>
            <w:r>
              <w:t>Balance forward</w:t>
            </w:r>
          </w:p>
        </w:tc>
      </w:tr>
      <w:tr w:rsidR="00A24865" w14:paraId="566ED5B4" w14:textId="77777777" w:rsidTr="001410E4">
        <w:trPr>
          <w:trHeight w:val="300"/>
        </w:trPr>
        <w:tc>
          <w:tcPr>
            <w:tcW w:w="3735" w:type="dxa"/>
            <w:tcBorders>
              <w:top w:val="single" w:sz="4" w:space="0" w:color="5B9BD5"/>
              <w:left w:val="single" w:sz="4" w:space="0" w:color="5B9BD5"/>
              <w:bottom w:val="nil"/>
              <w:right w:val="nil"/>
            </w:tcBorders>
          </w:tcPr>
          <w:p w14:paraId="43614162" w14:textId="77777777" w:rsidR="00A24865" w:rsidRDefault="00A24865" w:rsidP="001410E4">
            <w:pPr>
              <w:pStyle w:val="Normal1"/>
              <w:rPr>
                <w:rFonts w:ascii="Calibri" w:eastAsia="Calibri" w:hAnsi="Calibri" w:cs="Calibri"/>
              </w:rPr>
            </w:pPr>
          </w:p>
        </w:tc>
        <w:tc>
          <w:tcPr>
            <w:tcW w:w="1620" w:type="dxa"/>
            <w:tcBorders>
              <w:top w:val="single" w:sz="4" w:space="0" w:color="5B9BD5"/>
              <w:left w:val="nil"/>
              <w:bottom w:val="nil"/>
              <w:right w:val="nil"/>
            </w:tcBorders>
          </w:tcPr>
          <w:p w14:paraId="051613B6" w14:textId="77777777" w:rsidR="00A24865" w:rsidRDefault="00A24865" w:rsidP="001410E4">
            <w:pPr>
              <w:pStyle w:val="Normal1"/>
              <w:jc w:val="center"/>
              <w:rPr>
                <w:rFonts w:ascii="Calibri" w:eastAsia="Calibri" w:hAnsi="Calibri" w:cs="Calibri"/>
              </w:rPr>
            </w:pPr>
          </w:p>
        </w:tc>
        <w:tc>
          <w:tcPr>
            <w:tcW w:w="1410" w:type="dxa"/>
            <w:tcBorders>
              <w:top w:val="single" w:sz="4" w:space="0" w:color="5B9BD5"/>
              <w:left w:val="nil"/>
              <w:bottom w:val="nil"/>
              <w:right w:val="nil"/>
            </w:tcBorders>
          </w:tcPr>
          <w:p w14:paraId="3AFEEF0E" w14:textId="77777777" w:rsidR="00A24865" w:rsidRDefault="00A24865" w:rsidP="001410E4">
            <w:pPr>
              <w:pStyle w:val="Normal1"/>
              <w:rPr>
                <w:rFonts w:ascii="Calibri" w:eastAsia="Calibri" w:hAnsi="Calibri" w:cs="Calibri"/>
              </w:rPr>
            </w:pPr>
          </w:p>
        </w:tc>
        <w:tc>
          <w:tcPr>
            <w:tcW w:w="1560" w:type="dxa"/>
            <w:tcBorders>
              <w:top w:val="single" w:sz="4" w:space="0" w:color="5B9BD5"/>
              <w:left w:val="nil"/>
              <w:bottom w:val="nil"/>
              <w:right w:val="nil"/>
            </w:tcBorders>
          </w:tcPr>
          <w:p w14:paraId="6125BFEE" w14:textId="77777777" w:rsidR="00A24865" w:rsidRDefault="00A24865" w:rsidP="001410E4">
            <w:pPr>
              <w:pStyle w:val="Normal1"/>
              <w:rPr>
                <w:rFonts w:ascii="Calibri" w:eastAsia="Calibri" w:hAnsi="Calibri" w:cs="Calibri"/>
              </w:rPr>
            </w:pPr>
          </w:p>
        </w:tc>
        <w:tc>
          <w:tcPr>
            <w:tcW w:w="1965" w:type="dxa"/>
            <w:tcBorders>
              <w:top w:val="single" w:sz="4" w:space="0" w:color="5B9BD5"/>
              <w:left w:val="nil"/>
              <w:bottom w:val="nil"/>
              <w:right w:val="single" w:sz="4" w:space="0" w:color="5B9BD5"/>
            </w:tcBorders>
          </w:tcPr>
          <w:p w14:paraId="0040F11F" w14:textId="77777777" w:rsidR="00A24865" w:rsidRDefault="00A24865" w:rsidP="001410E4">
            <w:pPr>
              <w:pStyle w:val="Normal1"/>
              <w:rPr>
                <w:rFonts w:ascii="Calibri" w:eastAsia="Calibri" w:hAnsi="Calibri" w:cs="Calibri"/>
              </w:rPr>
            </w:pPr>
          </w:p>
        </w:tc>
      </w:tr>
    </w:tbl>
    <w:p w14:paraId="75093102" w14:textId="77777777" w:rsidR="00A24865" w:rsidRDefault="00A24865" w:rsidP="00A24865">
      <w:pPr>
        <w:pStyle w:val="Normal1"/>
      </w:pPr>
    </w:p>
    <w:p w14:paraId="7CAA010D" w14:textId="77777777" w:rsidR="00A24865" w:rsidRDefault="00A24865">
      <w:pPr>
        <w:pStyle w:val="Normal1"/>
        <w:ind w:firstLine="720"/>
      </w:pPr>
    </w:p>
    <w:p w14:paraId="20F73C25" w14:textId="77777777" w:rsidR="00A23329" w:rsidRDefault="00A23329">
      <w:pPr>
        <w:pStyle w:val="Normal1"/>
      </w:pPr>
    </w:p>
    <w:p w14:paraId="47CB2AFC" w14:textId="77777777" w:rsidR="00A23329" w:rsidRDefault="00A23329">
      <w:pPr>
        <w:pStyle w:val="Normal1"/>
      </w:pPr>
    </w:p>
    <w:p w14:paraId="583CF3B1" w14:textId="77777777" w:rsidR="00A23329" w:rsidRDefault="00A23329">
      <w:pPr>
        <w:pStyle w:val="Normal1"/>
        <w:spacing w:line="276" w:lineRule="auto"/>
      </w:pPr>
    </w:p>
    <w:p w14:paraId="355DA797" w14:textId="77777777" w:rsidR="00A23329" w:rsidRDefault="00A23329">
      <w:pPr>
        <w:pStyle w:val="Normal1"/>
        <w:spacing w:line="276" w:lineRule="auto"/>
      </w:pPr>
    </w:p>
    <w:p w14:paraId="64F320F9" w14:textId="77777777" w:rsidR="00A23329" w:rsidRDefault="00A23329">
      <w:pPr>
        <w:pStyle w:val="Normal1"/>
        <w:spacing w:line="276" w:lineRule="auto"/>
      </w:pPr>
    </w:p>
    <w:p w14:paraId="5E44D77B" w14:textId="77777777" w:rsidR="00A23329" w:rsidRDefault="00A23329">
      <w:pPr>
        <w:pStyle w:val="Normal1"/>
        <w:spacing w:line="276" w:lineRule="auto"/>
      </w:pPr>
    </w:p>
    <w:p w14:paraId="120B8086" w14:textId="77777777" w:rsidR="00A23329" w:rsidRDefault="00A23329">
      <w:pPr>
        <w:pStyle w:val="Normal1"/>
        <w:spacing w:line="276" w:lineRule="auto"/>
      </w:pPr>
    </w:p>
    <w:p w14:paraId="5E4E4B4D" w14:textId="77777777" w:rsidR="00A23329" w:rsidRDefault="00A23329">
      <w:pPr>
        <w:pStyle w:val="Normal1"/>
        <w:spacing w:line="276" w:lineRule="auto"/>
      </w:pPr>
    </w:p>
    <w:p w14:paraId="7CABB2C5" w14:textId="77777777" w:rsidR="00A23329" w:rsidRDefault="00A23329">
      <w:pPr>
        <w:pStyle w:val="Normal1"/>
        <w:spacing w:line="276" w:lineRule="auto"/>
      </w:pPr>
    </w:p>
    <w:p w14:paraId="61F61BB0" w14:textId="77777777" w:rsidR="00A23329" w:rsidRDefault="00A23329">
      <w:pPr>
        <w:pStyle w:val="Normal1"/>
        <w:spacing w:line="276" w:lineRule="auto"/>
      </w:pPr>
    </w:p>
    <w:p w14:paraId="39910CF9" w14:textId="77777777" w:rsidR="00A23329" w:rsidRDefault="00A23329">
      <w:pPr>
        <w:pStyle w:val="Normal1"/>
        <w:spacing w:line="276" w:lineRule="auto"/>
      </w:pPr>
    </w:p>
    <w:p w14:paraId="0CAB84BA" w14:textId="77777777" w:rsidR="00A23329" w:rsidRDefault="00A23329">
      <w:pPr>
        <w:pStyle w:val="Normal1"/>
        <w:spacing w:line="276" w:lineRule="auto"/>
      </w:pPr>
    </w:p>
    <w:p w14:paraId="2B0F8600" w14:textId="77777777" w:rsidR="00A23329" w:rsidRDefault="00A23329">
      <w:pPr>
        <w:pStyle w:val="Normal1"/>
        <w:spacing w:line="276" w:lineRule="auto"/>
      </w:pPr>
    </w:p>
    <w:p w14:paraId="0D946AD8" w14:textId="77777777" w:rsidR="00A23329" w:rsidRDefault="00A23329">
      <w:pPr>
        <w:pStyle w:val="Normal1"/>
        <w:spacing w:line="276" w:lineRule="auto"/>
      </w:pPr>
    </w:p>
    <w:p w14:paraId="11D3A6D4" w14:textId="77777777" w:rsidR="00A23329" w:rsidRDefault="00A23329">
      <w:pPr>
        <w:pStyle w:val="Normal1"/>
        <w:spacing w:line="276" w:lineRule="auto"/>
      </w:pPr>
    </w:p>
    <w:p w14:paraId="7FB3DBFE" w14:textId="77777777" w:rsidR="00A23329" w:rsidRDefault="00A23329">
      <w:pPr>
        <w:pStyle w:val="Normal1"/>
        <w:spacing w:line="276" w:lineRule="auto"/>
      </w:pPr>
    </w:p>
    <w:p w14:paraId="320B9C54" w14:textId="77777777" w:rsidR="00A24865" w:rsidRDefault="00A24865">
      <w:pPr>
        <w:pStyle w:val="Normal1"/>
        <w:spacing w:line="276" w:lineRule="auto"/>
      </w:pPr>
    </w:p>
    <w:p w14:paraId="02792281" w14:textId="77777777" w:rsidR="00A24865" w:rsidRDefault="00A24865">
      <w:pPr>
        <w:pStyle w:val="Normal1"/>
        <w:spacing w:line="276" w:lineRule="auto"/>
      </w:pPr>
    </w:p>
    <w:p w14:paraId="7C2D561F" w14:textId="77777777" w:rsidR="00A24865" w:rsidRDefault="00A24865">
      <w:pPr>
        <w:pStyle w:val="Normal1"/>
        <w:spacing w:line="276" w:lineRule="auto"/>
      </w:pPr>
    </w:p>
    <w:p w14:paraId="724DEA5B" w14:textId="77777777" w:rsidR="00A24865" w:rsidRDefault="00A24865">
      <w:pPr>
        <w:pStyle w:val="Normal1"/>
        <w:spacing w:line="276" w:lineRule="auto"/>
      </w:pPr>
    </w:p>
    <w:p w14:paraId="3224A902" w14:textId="77777777" w:rsidR="00A24865" w:rsidRDefault="00A24865">
      <w:pPr>
        <w:pStyle w:val="Normal1"/>
        <w:spacing w:line="276" w:lineRule="auto"/>
      </w:pPr>
    </w:p>
    <w:p w14:paraId="4374869F" w14:textId="77777777" w:rsidR="00A24865" w:rsidRDefault="00A24865">
      <w:pPr>
        <w:pStyle w:val="Normal1"/>
        <w:spacing w:line="276" w:lineRule="auto"/>
      </w:pPr>
    </w:p>
    <w:p w14:paraId="685D53E2" w14:textId="77777777" w:rsidR="00A24865" w:rsidRDefault="00A24865">
      <w:pPr>
        <w:pStyle w:val="Normal1"/>
        <w:spacing w:line="276" w:lineRule="auto"/>
      </w:pPr>
    </w:p>
    <w:p w14:paraId="5F67E1F0" w14:textId="77777777" w:rsidR="00A24865" w:rsidRDefault="00A24865">
      <w:pPr>
        <w:pStyle w:val="Normal1"/>
        <w:spacing w:line="276" w:lineRule="auto"/>
      </w:pPr>
    </w:p>
    <w:p w14:paraId="2F53900D" w14:textId="77777777" w:rsidR="00A24865" w:rsidRDefault="00A24865">
      <w:pPr>
        <w:pStyle w:val="Normal1"/>
        <w:spacing w:line="276" w:lineRule="auto"/>
      </w:pPr>
    </w:p>
    <w:p w14:paraId="33CA10B9" w14:textId="77777777" w:rsidR="00A24865" w:rsidRDefault="00A24865">
      <w:pPr>
        <w:pStyle w:val="Normal1"/>
        <w:spacing w:line="276" w:lineRule="auto"/>
      </w:pPr>
    </w:p>
    <w:p w14:paraId="69F0666A" w14:textId="77777777" w:rsidR="00A24865" w:rsidRDefault="00A24865">
      <w:pPr>
        <w:pStyle w:val="Normal1"/>
        <w:spacing w:line="276" w:lineRule="auto"/>
      </w:pPr>
    </w:p>
    <w:p w14:paraId="4695EF36" w14:textId="77777777" w:rsidR="00A24865" w:rsidRDefault="00A24865">
      <w:pPr>
        <w:pStyle w:val="Normal1"/>
        <w:spacing w:line="276" w:lineRule="auto"/>
      </w:pPr>
    </w:p>
    <w:p w14:paraId="0106CA61" w14:textId="77777777" w:rsidR="00A23329" w:rsidRDefault="00A23329">
      <w:pPr>
        <w:pStyle w:val="Normal1"/>
        <w:spacing w:line="276" w:lineRule="auto"/>
      </w:pPr>
    </w:p>
    <w:p w14:paraId="7C8EA3F5" w14:textId="77777777" w:rsidR="00A23329" w:rsidRDefault="00A23329">
      <w:pPr>
        <w:pStyle w:val="Normal1"/>
        <w:spacing w:line="276" w:lineRule="auto"/>
      </w:pPr>
    </w:p>
    <w:p w14:paraId="0734DB1B" w14:textId="77777777" w:rsidR="00A23329" w:rsidRDefault="00A23329">
      <w:pPr>
        <w:pStyle w:val="Normal1"/>
        <w:spacing w:line="276" w:lineRule="auto"/>
      </w:pPr>
    </w:p>
    <w:p w14:paraId="11C64572" w14:textId="77777777" w:rsidR="00A23329" w:rsidRDefault="00A23329">
      <w:pPr>
        <w:pStyle w:val="Normal1"/>
        <w:spacing w:line="276" w:lineRule="auto"/>
      </w:pPr>
    </w:p>
    <w:sectPr w:rsidR="00A23329" w:rsidSect="00A24865">
      <w:pgSz w:w="15840" w:h="12240" w:orient="landscape"/>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19D84" w14:textId="77777777" w:rsidR="003A03FB" w:rsidRDefault="00A24865">
      <w:r>
        <w:separator/>
      </w:r>
    </w:p>
  </w:endnote>
  <w:endnote w:type="continuationSeparator" w:id="0">
    <w:p w14:paraId="444442D6" w14:textId="77777777" w:rsidR="003A03FB" w:rsidRDefault="00A2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2E773" w14:textId="77777777" w:rsidR="003A03FB" w:rsidRDefault="00A24865">
      <w:r>
        <w:separator/>
      </w:r>
    </w:p>
  </w:footnote>
  <w:footnote w:type="continuationSeparator" w:id="0">
    <w:p w14:paraId="0933D32E" w14:textId="77777777" w:rsidR="003A03FB" w:rsidRDefault="00A24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E5116"/>
    <w:multiLevelType w:val="multilevel"/>
    <w:tmpl w:val="EC40FD4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29"/>
    <w:rsid w:val="003A03FB"/>
    <w:rsid w:val="007336C0"/>
    <w:rsid w:val="00A23329"/>
    <w:rsid w:val="00A24865"/>
    <w:rsid w:val="00A9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CE943"/>
  <w15:docId w15:val="{30BC434F-62E4-41B5-AB03-07B031F3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jc w:val="center"/>
      <w:outlineLvl w:val="0"/>
    </w:pPr>
    <w:rPr>
      <w:b/>
    </w:rPr>
  </w:style>
  <w:style w:type="paragraph" w:styleId="Heading2">
    <w:name w:val="heading 2"/>
    <w:basedOn w:val="Normal1"/>
    <w:next w:val="Normal1"/>
    <w:pPr>
      <w:keepNext/>
      <w:outlineLvl w:val="1"/>
    </w:pPr>
    <w:rPr>
      <w:b/>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jc w:val="center"/>
    </w:pPr>
    <w:rPr>
      <w:b/>
      <w:sz w:val="28"/>
      <w:szCs w:val="28"/>
    </w:rPr>
  </w:style>
  <w:style w:type="paragraph" w:styleId="Subtitle">
    <w:name w:val="Subtitle"/>
    <w:basedOn w:val="Normal1"/>
    <w:next w:val="Normal1"/>
    <w:rPr>
      <w:b/>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733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Moriarty, Gail R</dc:creator>
  <cp:lastModifiedBy>Moriarty, Gail R</cp:lastModifiedBy>
  <cp:revision>2</cp:revision>
  <cp:lastPrinted>2017-05-16T20:23:00Z</cp:lastPrinted>
  <dcterms:created xsi:type="dcterms:W3CDTF">2017-05-16T20:24:00Z</dcterms:created>
  <dcterms:modified xsi:type="dcterms:W3CDTF">2017-05-16T20:24:00Z</dcterms:modified>
</cp:coreProperties>
</file>