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7022" w:rsidRDefault="00834EAE">
      <w:pPr>
        <w:pStyle w:val="Title"/>
      </w:pPr>
      <w:r>
        <w:rPr>
          <w:rFonts w:ascii="Arial" w:eastAsia="Arial" w:hAnsi="Arial" w:cs="Arial"/>
        </w:rPr>
        <w:t xml:space="preserve"> Annual Chapter Report </w:t>
      </w:r>
    </w:p>
    <w:p w:rsidR="00EC7022" w:rsidRDefault="00EC7022">
      <w:pPr>
        <w:jc w:val="center"/>
      </w:pPr>
    </w:p>
    <w:p w:rsidR="00EC7022" w:rsidRDefault="00834EAE">
      <w:pPr>
        <w:pStyle w:val="Subtitle"/>
      </w:pPr>
      <w:bookmarkStart w:id="0" w:name="_GoBack"/>
      <w:bookmarkEnd w:id="0"/>
      <w:r>
        <w:rPr>
          <w:rFonts w:ascii="Arial" w:eastAsia="Arial" w:hAnsi="Arial" w:cs="Arial"/>
          <w:b w:val="0"/>
          <w:sz w:val="24"/>
        </w:rPr>
        <w:t xml:space="preserve">Date of report submission: </w:t>
      </w:r>
    </w:p>
    <w:p w:rsidR="00EC7022" w:rsidRPr="00AF6B65" w:rsidRDefault="00834EAE">
      <w:r w:rsidRPr="00AF6B65">
        <w:rPr>
          <w:rFonts w:eastAsia="Arial"/>
        </w:rPr>
        <w:t>Name of School/College:</w:t>
      </w:r>
      <w:r w:rsidRPr="00AF6B65">
        <w:t xml:space="preserve"> Idaho State University College of Pharmacy</w:t>
      </w:r>
    </w:p>
    <w:p w:rsidR="00EC7022" w:rsidRPr="00AF6B65" w:rsidRDefault="00834EAE">
      <w:r w:rsidRPr="00AF6B65">
        <w:rPr>
          <w:rFonts w:eastAsia="Arial"/>
        </w:rPr>
        <w:t xml:space="preserve">Chapter name and region: </w:t>
      </w:r>
      <w:r w:rsidRPr="00AF6B65">
        <w:t>Alpha Upsilon region VII Northwest</w:t>
      </w:r>
    </w:p>
    <w:p w:rsidR="00EC7022" w:rsidRPr="00AF6B65" w:rsidRDefault="00834EAE">
      <w:r w:rsidRPr="00AF6B65">
        <w:rPr>
          <w:rFonts w:eastAsia="Arial"/>
        </w:rPr>
        <w:t xml:space="preserve">Chapter advisor’s name and e-mail address: </w:t>
      </w:r>
      <w:r w:rsidRPr="00AF6B65">
        <w:rPr>
          <w:rFonts w:eastAsia="Verdana"/>
          <w:highlight w:val="white"/>
        </w:rPr>
        <w:t>Catherine Oliphant, oliphant@pharmacy.isu.edu</w:t>
      </w:r>
    </w:p>
    <w:p w:rsidR="00EC7022" w:rsidRPr="00AF6B65" w:rsidRDefault="00834EAE">
      <w:r w:rsidRPr="00AF6B65">
        <w:rPr>
          <w:rFonts w:eastAsia="Arial"/>
        </w:rPr>
        <w:t xml:space="preserve">(If chapter has a co-advisor, please list name and email address): </w:t>
      </w:r>
    </w:p>
    <w:p w:rsidR="00EC7022" w:rsidRPr="00AF6B65" w:rsidRDefault="00EC7022"/>
    <w:p w:rsidR="00EC7022" w:rsidRPr="00AF6B65" w:rsidRDefault="00834EAE">
      <w:r w:rsidRPr="00AF6B65">
        <w:rPr>
          <w:rFonts w:eastAsia="Arial"/>
        </w:rPr>
        <w:t>For split campuses, please list advisor and email address for each campus, if applicable:</w:t>
      </w:r>
    </w:p>
    <w:p w:rsidR="00EC7022" w:rsidRPr="00AF6B65" w:rsidRDefault="00EC7022"/>
    <w:p w:rsidR="00EC7022" w:rsidRPr="00AF6B65" w:rsidRDefault="00EC7022">
      <w:pPr>
        <w:ind w:left="1260" w:hanging="540"/>
      </w:pPr>
    </w:p>
    <w:p w:rsidR="00EC7022" w:rsidRPr="00AF6B65" w:rsidRDefault="00834EAE">
      <w:r w:rsidRPr="00AF6B65">
        <w:rPr>
          <w:rFonts w:eastAsia="Arial"/>
        </w:rPr>
        <w:t xml:space="preserve">Delegate who attended the Rho Chi Annual Meeting: </w:t>
      </w:r>
      <w:r w:rsidRPr="00AF6B65">
        <w:t>Melanie Sheldon</w:t>
      </w:r>
    </w:p>
    <w:p w:rsidR="00EC7022" w:rsidRPr="00AF6B65" w:rsidRDefault="00834EAE">
      <w:r w:rsidRPr="00AF6B65">
        <w:rPr>
          <w:rFonts w:eastAsia="Arial"/>
        </w:rPr>
        <w:t xml:space="preserve">(Note: Any chapter failing for three successive years to have a delegate at the National Convention shall be declared “inactive” by the Executive Council and may not elect members unless and until reinstated – Article 4, Section 3, Rho Chi Society Bylaws) Note that </w:t>
      </w:r>
      <w:r w:rsidRPr="00AF6B65">
        <w:rPr>
          <w:rFonts w:eastAsia="Arial"/>
        </w:rPr>
        <w:lastRenderedPageBreak/>
        <w:t xml:space="preserve">Advisors attending the National Conventions may serve as delegates in the absence of a student or non-student member delegate—Article 7, Section 7, Rho Chi Society Bylaws.  </w:t>
      </w:r>
    </w:p>
    <w:p w:rsidR="00EC7022" w:rsidRPr="00AF6B65" w:rsidRDefault="00EC7022"/>
    <w:p w:rsidR="00EC7022" w:rsidRPr="00AF6B65" w:rsidRDefault="00834EAE">
      <w:r w:rsidRPr="00AF6B65">
        <w:rPr>
          <w:rFonts w:eastAsia="Arial"/>
        </w:rPr>
        <w:t>Date delegate’s name submitted to Rho Chi.: 2014</w:t>
      </w:r>
    </w:p>
    <w:p w:rsidR="00EC7022" w:rsidRPr="00AF6B65" w:rsidRDefault="00EC7022"/>
    <w:p w:rsidR="00EC7022" w:rsidRPr="00AF6B65" w:rsidRDefault="00834EAE">
      <w:r w:rsidRPr="00AF6B65">
        <w:rPr>
          <w:rFonts w:eastAsia="Arial"/>
        </w:rPr>
        <w:t>Past year’s officers and e-mail addresses:</w:t>
      </w:r>
    </w:p>
    <w:p w:rsidR="00EC7022" w:rsidRPr="00AF6B65" w:rsidRDefault="00834EAE">
      <w:r w:rsidRPr="00AF6B65">
        <w:rPr>
          <w:rFonts w:eastAsia="Arial"/>
        </w:rPr>
        <w:t xml:space="preserve">President: Samuel Zohner, </w:t>
      </w:r>
      <w:hyperlink r:id="rId7">
        <w:r w:rsidRPr="00AF6B65">
          <w:rPr>
            <w:rFonts w:eastAsia="Arial"/>
            <w:color w:val="1155CC"/>
            <w:u w:val="single"/>
          </w:rPr>
          <w:t>zohnsamu@pharmacy.isu.edu</w:t>
        </w:r>
      </w:hyperlink>
      <w:r w:rsidRPr="00AF6B65">
        <w:rPr>
          <w:rFonts w:eastAsia="Arial"/>
        </w:rPr>
        <w:tab/>
      </w:r>
    </w:p>
    <w:p w:rsidR="00EC7022" w:rsidRPr="00AF6B65" w:rsidRDefault="00834EAE">
      <w:r w:rsidRPr="00AF6B65">
        <w:rPr>
          <w:rFonts w:eastAsia="Arial"/>
        </w:rPr>
        <w:t xml:space="preserve">Vice President: Kris Lark, </w:t>
      </w:r>
      <w:hyperlink r:id="rId8">
        <w:r w:rsidRPr="00AF6B65">
          <w:rPr>
            <w:rFonts w:eastAsia="Arial"/>
            <w:color w:val="1155CC"/>
            <w:u w:val="single"/>
          </w:rPr>
          <w:t>larkr</w:t>
        </w:r>
      </w:hyperlink>
      <w:hyperlink r:id="rId9">
        <w:r w:rsidRPr="00AF6B65">
          <w:rPr>
            <w:rFonts w:eastAsia="Arial"/>
            <w:color w:val="1155CC"/>
            <w:u w:val="single"/>
          </w:rPr>
          <w:t>is@pharmacy.isu.edu</w:t>
        </w:r>
      </w:hyperlink>
      <w:r w:rsidRPr="00AF6B65">
        <w:rPr>
          <w:rFonts w:eastAsia="Arial"/>
        </w:rPr>
        <w:t xml:space="preserve"> </w:t>
      </w:r>
    </w:p>
    <w:p w:rsidR="00EC7022" w:rsidRPr="00AF6B65" w:rsidRDefault="00834EAE">
      <w:r w:rsidRPr="00AF6B65">
        <w:rPr>
          <w:rFonts w:eastAsia="Arial"/>
        </w:rPr>
        <w:t xml:space="preserve">Secretary: </w:t>
      </w:r>
      <w:r w:rsidRPr="00AF6B65">
        <w:rPr>
          <w:rFonts w:eastAsia="Arial"/>
          <w:highlight w:val="white"/>
        </w:rPr>
        <w:t>Michelle Wilkin</w:t>
      </w:r>
      <w:r w:rsidRPr="00AF6B65">
        <w:rPr>
          <w:rFonts w:eastAsia="Arial"/>
          <w:color w:val="333333"/>
          <w:highlight w:val="white"/>
        </w:rPr>
        <w:t xml:space="preserve">, </w:t>
      </w:r>
      <w:hyperlink r:id="rId10">
        <w:r w:rsidRPr="00AF6B65">
          <w:rPr>
            <w:rFonts w:eastAsia="Arial"/>
            <w:color w:val="1155CC"/>
            <w:highlight w:val="white"/>
            <w:u w:val="single"/>
          </w:rPr>
          <w:t>wilkmich@pharmacy.isu.edu</w:t>
        </w:r>
      </w:hyperlink>
      <w:r w:rsidRPr="00AF6B65">
        <w:rPr>
          <w:rFonts w:eastAsia="Arial"/>
          <w:color w:val="333333"/>
          <w:highlight w:val="white"/>
        </w:rPr>
        <w:tab/>
      </w:r>
    </w:p>
    <w:p w:rsidR="00EC7022" w:rsidRPr="00AF6B65" w:rsidRDefault="00834EAE">
      <w:r w:rsidRPr="00AF6B65">
        <w:rPr>
          <w:rFonts w:eastAsia="Arial"/>
        </w:rPr>
        <w:t xml:space="preserve">Treasurer: Brandon </w:t>
      </w:r>
      <w:proofErr w:type="spellStart"/>
      <w:r w:rsidRPr="00AF6B65">
        <w:rPr>
          <w:rFonts w:eastAsia="Arial"/>
        </w:rPr>
        <w:t>Skoumal</w:t>
      </w:r>
      <w:proofErr w:type="spellEnd"/>
      <w:r w:rsidRPr="00AF6B65">
        <w:rPr>
          <w:rFonts w:eastAsia="Arial"/>
        </w:rPr>
        <w:t xml:space="preserve">, </w:t>
      </w:r>
      <w:hyperlink r:id="rId11">
        <w:r w:rsidRPr="00AF6B65">
          <w:rPr>
            <w:rFonts w:eastAsia="Arial"/>
            <w:color w:val="1155CC"/>
            <w:u w:val="single"/>
          </w:rPr>
          <w:t>skoubran@pharmacy.isu.edu</w:t>
        </w:r>
      </w:hyperlink>
      <w:r w:rsidRPr="00AF6B65">
        <w:rPr>
          <w:rFonts w:eastAsia="Arial"/>
        </w:rPr>
        <w:t xml:space="preserve"> </w:t>
      </w:r>
    </w:p>
    <w:p w:rsidR="00EC7022" w:rsidRPr="00AF6B65" w:rsidRDefault="00834EAE">
      <w:r w:rsidRPr="00AF6B65">
        <w:rPr>
          <w:rFonts w:eastAsia="Arial"/>
        </w:rPr>
        <w:t xml:space="preserve">Historian: Skyler Anderson, </w:t>
      </w:r>
      <w:hyperlink r:id="rId12">
        <w:r w:rsidRPr="00AF6B65">
          <w:rPr>
            <w:rFonts w:eastAsia="Arial"/>
            <w:color w:val="1155CC"/>
            <w:u w:val="single"/>
          </w:rPr>
          <w:t>andeskly@pharmacy.isu.edu</w:t>
        </w:r>
      </w:hyperlink>
      <w:r w:rsidRPr="00AF6B65">
        <w:rPr>
          <w:rFonts w:eastAsia="Arial"/>
        </w:rPr>
        <w:t xml:space="preserve">, Andy Pearson </w:t>
      </w:r>
      <w:hyperlink r:id="rId13">
        <w:r w:rsidRPr="00AF6B65">
          <w:rPr>
            <w:rFonts w:eastAsia="Arial"/>
            <w:color w:val="1155CC"/>
            <w:highlight w:val="white"/>
            <w:u w:val="single"/>
          </w:rPr>
          <w:t>pearandr@pharmacy.isu.edu</w:t>
        </w:r>
      </w:hyperlink>
      <w:r w:rsidRPr="00AF6B65">
        <w:rPr>
          <w:rFonts w:eastAsia="Arial"/>
          <w:highlight w:val="white"/>
        </w:rPr>
        <w:t xml:space="preserve"> </w:t>
      </w:r>
      <w:r w:rsidRPr="00AF6B65">
        <w:rPr>
          <w:rFonts w:eastAsia="Arial"/>
        </w:rPr>
        <w:t xml:space="preserve"> </w:t>
      </w:r>
    </w:p>
    <w:p w:rsidR="00EC7022" w:rsidRPr="00AF6B65" w:rsidRDefault="00834EAE">
      <w:r w:rsidRPr="00AF6B65">
        <w:rPr>
          <w:rFonts w:eastAsia="Arial"/>
        </w:rPr>
        <w:t>New officers and e-mail addresses for next academic year:</w:t>
      </w:r>
    </w:p>
    <w:p w:rsidR="00EC7022" w:rsidRPr="00AF6B65" w:rsidRDefault="00834EAE">
      <w:r w:rsidRPr="00AF6B65">
        <w:rPr>
          <w:rFonts w:eastAsia="Arial"/>
        </w:rPr>
        <w:t>(If not yet elected, please indicate date of anticipated election and report names within one week of election)</w:t>
      </w:r>
    </w:p>
    <w:p w:rsidR="00EC7022" w:rsidRPr="00AF6B65" w:rsidRDefault="00EC7022"/>
    <w:p w:rsidR="00EC7022" w:rsidRPr="00AF6B65" w:rsidRDefault="00834EAE">
      <w:r w:rsidRPr="00AF6B65">
        <w:rPr>
          <w:rFonts w:eastAsia="Arial"/>
        </w:rPr>
        <w:t xml:space="preserve">President: Nathan Spann </w:t>
      </w:r>
      <w:hyperlink r:id="rId14">
        <w:r w:rsidRPr="00AF6B65">
          <w:rPr>
            <w:rFonts w:eastAsia="Arial"/>
            <w:color w:val="1155CC"/>
            <w:highlight w:val="white"/>
            <w:u w:val="single"/>
          </w:rPr>
          <w:t>spannath@pharmacy.isu.edu</w:t>
        </w:r>
      </w:hyperlink>
      <w:r w:rsidRPr="00AF6B65">
        <w:rPr>
          <w:rFonts w:eastAsia="Arial"/>
          <w:highlight w:val="white"/>
        </w:rPr>
        <w:t xml:space="preserve"> </w:t>
      </w:r>
    </w:p>
    <w:p w:rsidR="00EC7022" w:rsidRPr="00AF6B65" w:rsidRDefault="00834EAE">
      <w:r w:rsidRPr="00AF6B65">
        <w:rPr>
          <w:rFonts w:eastAsia="Arial"/>
        </w:rPr>
        <w:t xml:space="preserve">Vice President: Rachel </w:t>
      </w:r>
      <w:proofErr w:type="spellStart"/>
      <w:r w:rsidRPr="00AF6B65">
        <w:rPr>
          <w:rFonts w:eastAsia="Arial"/>
        </w:rPr>
        <w:t>Warila</w:t>
      </w:r>
      <w:proofErr w:type="spellEnd"/>
      <w:r w:rsidRPr="00AF6B65">
        <w:rPr>
          <w:rFonts w:eastAsia="Arial"/>
        </w:rPr>
        <w:t xml:space="preserve"> </w:t>
      </w:r>
      <w:hyperlink r:id="rId15">
        <w:r w:rsidRPr="00AF6B65">
          <w:rPr>
            <w:rFonts w:eastAsia="Arial"/>
            <w:color w:val="1155CC"/>
            <w:highlight w:val="white"/>
            <w:u w:val="single"/>
          </w:rPr>
          <w:t>warirach@pharmacy.isu.edu</w:t>
        </w:r>
      </w:hyperlink>
      <w:r w:rsidRPr="00AF6B65">
        <w:rPr>
          <w:rFonts w:eastAsia="Arial"/>
          <w:highlight w:val="white"/>
        </w:rPr>
        <w:t xml:space="preserve"> </w:t>
      </w:r>
    </w:p>
    <w:p w:rsidR="00EC7022" w:rsidRPr="00AF6B65" w:rsidRDefault="00834EAE">
      <w:r w:rsidRPr="00AF6B65">
        <w:rPr>
          <w:rFonts w:eastAsia="Arial"/>
        </w:rPr>
        <w:t xml:space="preserve">Secretary: Taylor Chavez </w:t>
      </w:r>
      <w:hyperlink r:id="rId16">
        <w:r w:rsidRPr="00AF6B65">
          <w:rPr>
            <w:rFonts w:eastAsia="Arial"/>
            <w:color w:val="1155CC"/>
            <w:highlight w:val="white"/>
            <w:u w:val="single"/>
          </w:rPr>
          <w:t>whittayl@pharmacy.isu.edu</w:t>
        </w:r>
      </w:hyperlink>
      <w:r w:rsidRPr="00AF6B65">
        <w:rPr>
          <w:rFonts w:eastAsia="Arial"/>
          <w:highlight w:val="white"/>
        </w:rPr>
        <w:t xml:space="preserve"> </w:t>
      </w:r>
    </w:p>
    <w:p w:rsidR="00EC7022" w:rsidRPr="00AF6B65" w:rsidRDefault="00834EAE">
      <w:r w:rsidRPr="00AF6B65">
        <w:rPr>
          <w:rFonts w:eastAsia="Arial"/>
        </w:rPr>
        <w:t xml:space="preserve">Treasurer: Matt Anderson </w:t>
      </w:r>
      <w:hyperlink r:id="rId17">
        <w:r w:rsidRPr="00AF6B65">
          <w:rPr>
            <w:rFonts w:eastAsia="Arial"/>
            <w:color w:val="1155CC"/>
            <w:highlight w:val="white"/>
            <w:u w:val="single"/>
          </w:rPr>
          <w:t>andematt@pharmacy.isu.edu</w:t>
        </w:r>
      </w:hyperlink>
      <w:r w:rsidRPr="00AF6B65">
        <w:rPr>
          <w:rFonts w:eastAsia="Arial"/>
          <w:highlight w:val="white"/>
        </w:rPr>
        <w:t xml:space="preserve"> </w:t>
      </w:r>
    </w:p>
    <w:p w:rsidR="00EC7022" w:rsidRPr="00AF6B65" w:rsidRDefault="00834EAE">
      <w:r w:rsidRPr="00AF6B65">
        <w:rPr>
          <w:rFonts w:eastAsia="Arial"/>
        </w:rPr>
        <w:t xml:space="preserve">Historian: Justin Bell </w:t>
      </w:r>
      <w:hyperlink r:id="rId18">
        <w:proofErr w:type="gramStart"/>
        <w:r w:rsidRPr="00AF6B65">
          <w:rPr>
            <w:rFonts w:eastAsia="Arial"/>
            <w:color w:val="1155CC"/>
            <w:highlight w:val="white"/>
            <w:u w:val="single"/>
          </w:rPr>
          <w:t>bellbria@pharmacy.isu.edu</w:t>
        </w:r>
      </w:hyperlink>
      <w:r w:rsidRPr="00AF6B65">
        <w:rPr>
          <w:rFonts w:eastAsia="Arial"/>
          <w:highlight w:val="white"/>
        </w:rPr>
        <w:t xml:space="preserve"> </w:t>
      </w:r>
      <w:r w:rsidRPr="00AF6B65">
        <w:rPr>
          <w:rFonts w:eastAsia="Arial"/>
        </w:rPr>
        <w:t>,Vicky</w:t>
      </w:r>
      <w:proofErr w:type="gramEnd"/>
      <w:r w:rsidRPr="00AF6B65">
        <w:rPr>
          <w:rFonts w:eastAsia="Arial"/>
        </w:rPr>
        <w:t xml:space="preserve"> Tang </w:t>
      </w:r>
      <w:hyperlink r:id="rId19">
        <w:r w:rsidRPr="00AF6B65">
          <w:rPr>
            <w:rFonts w:eastAsia="Arial"/>
            <w:color w:val="1155CC"/>
            <w:highlight w:val="white"/>
            <w:u w:val="single"/>
          </w:rPr>
          <w:t>tangvick@pharmacy.isu.edu</w:t>
        </w:r>
      </w:hyperlink>
      <w:r w:rsidRPr="00AF6B65">
        <w:rPr>
          <w:rFonts w:eastAsia="Arial"/>
          <w:highlight w:val="white"/>
        </w:rPr>
        <w:t xml:space="preserve"> </w:t>
      </w:r>
    </w:p>
    <w:p w:rsidR="00EC7022" w:rsidRPr="00AF6B65" w:rsidRDefault="00EC7022"/>
    <w:p w:rsidR="00EC7022" w:rsidRPr="00AF6B65" w:rsidRDefault="00834EAE">
      <w:r w:rsidRPr="00AF6B65">
        <w:rPr>
          <w:rFonts w:eastAsia="Arial"/>
        </w:rPr>
        <w:t>Number of Rho Chi student members at college or school, listed by class year and program (and by campus if more than one campus):</w:t>
      </w:r>
    </w:p>
    <w:p w:rsidR="00EC7022" w:rsidRPr="00AF6B65" w:rsidRDefault="00834EAE">
      <w:proofErr w:type="gramStart"/>
      <w:r w:rsidRPr="00AF6B65">
        <w:rPr>
          <w:rFonts w:eastAsia="Arial"/>
        </w:rPr>
        <w:t>class</w:t>
      </w:r>
      <w:proofErr w:type="gramEnd"/>
      <w:r w:rsidRPr="00AF6B65">
        <w:rPr>
          <w:rFonts w:eastAsia="Arial"/>
        </w:rPr>
        <w:t xml:space="preserve"> of 2016 Pocatello 10, Meridian 4</w:t>
      </w:r>
    </w:p>
    <w:p w:rsidR="00EC7022" w:rsidRPr="00AF6B65" w:rsidRDefault="00834EAE">
      <w:proofErr w:type="gramStart"/>
      <w:r w:rsidRPr="00AF6B65">
        <w:rPr>
          <w:rFonts w:eastAsia="Arial"/>
        </w:rPr>
        <w:t>class</w:t>
      </w:r>
      <w:proofErr w:type="gramEnd"/>
      <w:r w:rsidRPr="00AF6B65">
        <w:rPr>
          <w:rFonts w:eastAsia="Arial"/>
        </w:rPr>
        <w:t xml:space="preserve"> of 2017 Pocatello 7, Meridian 7</w:t>
      </w:r>
    </w:p>
    <w:p w:rsidR="00EC7022" w:rsidRPr="00AF6B65" w:rsidRDefault="00EC7022"/>
    <w:p w:rsidR="00EC7022" w:rsidRPr="00AF6B65" w:rsidRDefault="00834EAE">
      <w:pPr>
        <w:ind w:left="1170" w:hanging="1170"/>
      </w:pPr>
      <w:r w:rsidRPr="00AF6B65">
        <w:rPr>
          <w:rFonts w:eastAsia="Arial"/>
          <w:b/>
        </w:rPr>
        <w:t>Meetings</w:t>
      </w:r>
      <w:r w:rsidRPr="00AF6B65">
        <w:rPr>
          <w:rFonts w:eastAsia="Arial"/>
        </w:rPr>
        <w:t>: Provide information on meetings held in the following tabular format (Limit 1.5 page)</w:t>
      </w:r>
    </w:p>
    <w:p w:rsidR="00EC7022" w:rsidRPr="00AF6B65" w:rsidRDefault="00834EAE">
      <w:r w:rsidRPr="00AF6B65">
        <w:rPr>
          <w:rFonts w:eastAsia="Arial"/>
          <w:b/>
        </w:rPr>
        <w:t>Note:  If your chapter is part of a split campus, please list the meetings with campus reference under the Attendance (i.e. A, B or 1, 2 with a note to indicate the campus of reference).</w:t>
      </w:r>
    </w:p>
    <w:p w:rsidR="00EC7022" w:rsidRPr="00AF6B65" w:rsidRDefault="00EC7022">
      <w:pPr>
        <w:ind w:left="900" w:hanging="90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2394"/>
        <w:gridCol w:w="2286"/>
      </w:tblGrid>
      <w:tr w:rsidR="00EC7022" w:rsidRPr="00AF6B65">
        <w:tc>
          <w:tcPr>
            <w:tcW w:w="2286" w:type="dxa"/>
          </w:tcPr>
          <w:p w:rsidR="00EC7022" w:rsidRPr="00AF6B65" w:rsidRDefault="00834EAE">
            <w:r w:rsidRPr="00AF6B65">
              <w:rPr>
                <w:rFonts w:eastAsia="Arial"/>
              </w:rPr>
              <w:t>Date</w:t>
            </w:r>
          </w:p>
        </w:tc>
        <w:tc>
          <w:tcPr>
            <w:tcW w:w="2394" w:type="dxa"/>
          </w:tcPr>
          <w:p w:rsidR="00EC7022" w:rsidRPr="00AF6B65" w:rsidRDefault="00834EAE">
            <w:r w:rsidRPr="00AF6B65">
              <w:rPr>
                <w:rFonts w:eastAsia="Arial"/>
              </w:rPr>
              <w:t>Attendance</w:t>
            </w:r>
          </w:p>
        </w:tc>
        <w:tc>
          <w:tcPr>
            <w:tcW w:w="2394" w:type="dxa"/>
          </w:tcPr>
          <w:p w:rsidR="00EC7022" w:rsidRPr="00AF6B65" w:rsidRDefault="00834EAE">
            <w:r w:rsidRPr="00AF6B65">
              <w:rPr>
                <w:rFonts w:eastAsia="Arial"/>
              </w:rPr>
              <w:t>Agenda</w:t>
            </w:r>
          </w:p>
        </w:tc>
        <w:tc>
          <w:tcPr>
            <w:tcW w:w="2286" w:type="dxa"/>
          </w:tcPr>
          <w:p w:rsidR="00EC7022" w:rsidRPr="00AF6B65" w:rsidRDefault="00834EAE">
            <w:r w:rsidRPr="00AF6B65">
              <w:rPr>
                <w:rFonts w:eastAsia="Arial"/>
              </w:rPr>
              <w:t>Action Steps</w:t>
            </w:r>
          </w:p>
        </w:tc>
      </w:tr>
      <w:tr w:rsidR="00EC7022" w:rsidRPr="00AF6B65">
        <w:tc>
          <w:tcPr>
            <w:tcW w:w="2286" w:type="dxa"/>
          </w:tcPr>
          <w:p w:rsidR="00EC7022" w:rsidRPr="00AF6B65" w:rsidRDefault="00834EAE">
            <w:r w:rsidRPr="00AF6B65">
              <w:rPr>
                <w:rFonts w:eastAsia="Arial"/>
              </w:rPr>
              <w:lastRenderedPageBreak/>
              <w:t>03/12/15</w:t>
            </w:r>
          </w:p>
        </w:tc>
        <w:tc>
          <w:tcPr>
            <w:tcW w:w="2394" w:type="dxa"/>
          </w:tcPr>
          <w:p w:rsidR="00EC7022" w:rsidRPr="00AF6B65" w:rsidRDefault="00834EAE">
            <w:r w:rsidRPr="00AF6B65">
              <w:rPr>
                <w:rFonts w:eastAsia="Arial"/>
              </w:rPr>
              <w:t>13</w:t>
            </w:r>
          </w:p>
        </w:tc>
        <w:tc>
          <w:tcPr>
            <w:tcW w:w="2394" w:type="dxa"/>
          </w:tcPr>
          <w:p w:rsidR="00EC7022" w:rsidRPr="00AF6B65" w:rsidRDefault="00834EAE">
            <w:r w:rsidRPr="00AF6B65">
              <w:rPr>
                <w:rFonts w:eastAsia="Arial"/>
              </w:rPr>
              <w:t>new members</w:t>
            </w:r>
          </w:p>
        </w:tc>
        <w:tc>
          <w:tcPr>
            <w:tcW w:w="2286" w:type="dxa"/>
          </w:tcPr>
          <w:p w:rsidR="00EC7022" w:rsidRPr="00AF6B65" w:rsidRDefault="00834EAE">
            <w:r w:rsidRPr="00AF6B65">
              <w:rPr>
                <w:rFonts w:eastAsia="Arial"/>
              </w:rPr>
              <w:t>voted on new members</w:t>
            </w:r>
          </w:p>
        </w:tc>
      </w:tr>
      <w:tr w:rsidR="00EC7022" w:rsidRPr="00AF6B65">
        <w:tc>
          <w:tcPr>
            <w:tcW w:w="2286" w:type="dxa"/>
          </w:tcPr>
          <w:p w:rsidR="00EC7022" w:rsidRPr="00AF6B65" w:rsidRDefault="00EC7022"/>
        </w:tc>
        <w:tc>
          <w:tcPr>
            <w:tcW w:w="2394" w:type="dxa"/>
          </w:tcPr>
          <w:p w:rsidR="00EC7022" w:rsidRPr="00AF6B65" w:rsidRDefault="00EC7022"/>
        </w:tc>
        <w:tc>
          <w:tcPr>
            <w:tcW w:w="2394" w:type="dxa"/>
          </w:tcPr>
          <w:p w:rsidR="00EC7022" w:rsidRPr="00AF6B65" w:rsidRDefault="00EC7022"/>
        </w:tc>
        <w:tc>
          <w:tcPr>
            <w:tcW w:w="2286" w:type="dxa"/>
          </w:tcPr>
          <w:p w:rsidR="00EC7022" w:rsidRPr="00AF6B65" w:rsidRDefault="00EC7022"/>
        </w:tc>
      </w:tr>
      <w:tr w:rsidR="00EC7022" w:rsidRPr="00AF6B65">
        <w:tc>
          <w:tcPr>
            <w:tcW w:w="2286" w:type="dxa"/>
          </w:tcPr>
          <w:p w:rsidR="00EC7022" w:rsidRPr="00AF6B65" w:rsidRDefault="00EC7022"/>
        </w:tc>
        <w:tc>
          <w:tcPr>
            <w:tcW w:w="2394" w:type="dxa"/>
          </w:tcPr>
          <w:p w:rsidR="00EC7022" w:rsidRPr="00AF6B65" w:rsidRDefault="00EC7022"/>
        </w:tc>
        <w:tc>
          <w:tcPr>
            <w:tcW w:w="2394" w:type="dxa"/>
          </w:tcPr>
          <w:p w:rsidR="00EC7022" w:rsidRPr="00AF6B65" w:rsidRDefault="00EC7022"/>
        </w:tc>
        <w:tc>
          <w:tcPr>
            <w:tcW w:w="2286" w:type="dxa"/>
          </w:tcPr>
          <w:p w:rsidR="00EC7022" w:rsidRPr="00AF6B65" w:rsidRDefault="00EC7022"/>
        </w:tc>
      </w:tr>
      <w:tr w:rsidR="00EC7022" w:rsidRPr="00AF6B65">
        <w:tc>
          <w:tcPr>
            <w:tcW w:w="2286" w:type="dxa"/>
          </w:tcPr>
          <w:p w:rsidR="00EC7022" w:rsidRPr="00AF6B65" w:rsidRDefault="00EC7022"/>
        </w:tc>
        <w:tc>
          <w:tcPr>
            <w:tcW w:w="2394" w:type="dxa"/>
          </w:tcPr>
          <w:p w:rsidR="00EC7022" w:rsidRPr="00AF6B65" w:rsidRDefault="00EC7022"/>
        </w:tc>
        <w:tc>
          <w:tcPr>
            <w:tcW w:w="2394" w:type="dxa"/>
          </w:tcPr>
          <w:p w:rsidR="00EC7022" w:rsidRPr="00AF6B65" w:rsidRDefault="00EC7022"/>
        </w:tc>
        <w:tc>
          <w:tcPr>
            <w:tcW w:w="2286" w:type="dxa"/>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r w:rsidR="00EC7022" w:rsidRPr="00AF6B65">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394" w:type="dxa"/>
            <w:tcBorders>
              <w:top w:val="single" w:sz="4" w:space="0" w:color="000000"/>
              <w:left w:val="single" w:sz="4" w:space="0" w:color="000000"/>
              <w:bottom w:val="single" w:sz="4" w:space="0" w:color="000000"/>
              <w:right w:val="single" w:sz="4" w:space="0" w:color="000000"/>
            </w:tcBorders>
          </w:tcPr>
          <w:p w:rsidR="00EC7022" w:rsidRPr="00AF6B65" w:rsidRDefault="00EC7022"/>
        </w:tc>
        <w:tc>
          <w:tcPr>
            <w:tcW w:w="2286" w:type="dxa"/>
            <w:tcBorders>
              <w:top w:val="single" w:sz="4" w:space="0" w:color="000000"/>
              <w:left w:val="single" w:sz="4" w:space="0" w:color="000000"/>
              <w:bottom w:val="single" w:sz="4" w:space="0" w:color="000000"/>
              <w:right w:val="single" w:sz="4" w:space="0" w:color="000000"/>
            </w:tcBorders>
          </w:tcPr>
          <w:p w:rsidR="00EC7022" w:rsidRPr="00AF6B65" w:rsidRDefault="00EC7022"/>
        </w:tc>
      </w:tr>
    </w:tbl>
    <w:p w:rsidR="00EC7022" w:rsidRPr="00AF6B65" w:rsidRDefault="00EC7022">
      <w:pPr>
        <w:ind w:left="900" w:hanging="900"/>
      </w:pPr>
    </w:p>
    <w:p w:rsidR="00EC7022" w:rsidRPr="00AF6B65" w:rsidRDefault="00EC7022">
      <w:pPr>
        <w:ind w:left="900" w:hanging="900"/>
      </w:pPr>
    </w:p>
    <w:p w:rsidR="00EC7022" w:rsidRPr="00AF6B65" w:rsidRDefault="00EC7022">
      <w:pPr>
        <w:ind w:left="900" w:hanging="900"/>
      </w:pPr>
    </w:p>
    <w:p w:rsidR="00EC7022" w:rsidRPr="00AF6B65" w:rsidRDefault="00834EAE">
      <w:pPr>
        <w:ind w:left="2250" w:hanging="2250"/>
      </w:pPr>
      <w:r w:rsidRPr="00AF6B65">
        <w:rPr>
          <w:rFonts w:eastAsia="Arial"/>
          <w:b/>
        </w:rPr>
        <w:t>Strategic Planning</w:t>
      </w:r>
      <w:r w:rsidRPr="00AF6B65">
        <w:rPr>
          <w:rFonts w:eastAsia="Arial"/>
        </w:rPr>
        <w:t xml:space="preserve">: What goals were set that relate to the Rho Chi mission? (Limit </w:t>
      </w:r>
      <w:proofErr w:type="gramStart"/>
      <w:r w:rsidRPr="00AF6B65">
        <w:rPr>
          <w:rFonts w:eastAsia="Arial"/>
        </w:rPr>
        <w:t>0.5  page</w:t>
      </w:r>
      <w:proofErr w:type="gramEnd"/>
      <w:r w:rsidRPr="00AF6B65">
        <w:rPr>
          <w:rFonts w:eastAsia="Arial"/>
        </w:rPr>
        <w:t>)</w:t>
      </w:r>
    </w:p>
    <w:p w:rsidR="00EC7022" w:rsidRPr="00AF6B65" w:rsidRDefault="00EC7022">
      <w:pPr>
        <w:ind w:left="2250" w:hanging="2250"/>
      </w:pPr>
    </w:p>
    <w:p w:rsidR="00EC7022" w:rsidRPr="00AF6B65" w:rsidRDefault="00834EAE">
      <w:pPr>
        <w:ind w:left="2250" w:hanging="2250"/>
      </w:pPr>
      <w:r w:rsidRPr="00AF6B65">
        <w:rPr>
          <w:rFonts w:eastAsia="Arial"/>
        </w:rPr>
        <w:t>Promote awareness of the Rho Chi society. We did this by hosting the Back to School Picnic, the teacher and faculty of the month voting process. Another goal was to further academic excellence by hosting study sessions for the P1-P3 classes in pharmacy school.</w:t>
      </w:r>
    </w:p>
    <w:p w:rsidR="00EC7022" w:rsidRPr="00AF6B65" w:rsidRDefault="00EC7022">
      <w:pPr>
        <w:ind w:left="900" w:hanging="900"/>
      </w:pPr>
    </w:p>
    <w:p w:rsidR="00EC7022" w:rsidRPr="00AF6B65" w:rsidRDefault="00EC7022">
      <w:pPr>
        <w:ind w:left="900" w:hanging="900"/>
      </w:pPr>
    </w:p>
    <w:p w:rsidR="00EC7022" w:rsidRPr="00AF6B65" w:rsidRDefault="00834EAE">
      <w:r w:rsidRPr="00AF6B65">
        <w:rPr>
          <w:rFonts w:eastAsia="Arial"/>
          <w:b/>
        </w:rPr>
        <w:t>Activities</w:t>
      </w:r>
      <w:r w:rsidRPr="00AF6B65">
        <w:rPr>
          <w:rFonts w:eastAsia="Arial"/>
        </w:rPr>
        <w:t xml:space="preserve">: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w:t>
      </w:r>
      <w:r w:rsidRPr="00AF6B65">
        <w:rPr>
          <w:rFonts w:eastAsia="Arial"/>
        </w:rPr>
        <w:lastRenderedPageBreak/>
        <w:t>the community, etc.) provided that it is consistent with the mission of the Rho Chi Society.  The description must include whether these activities are on-going (if so, for how long) or are new initiatives. (Limit 1500 words)</w:t>
      </w:r>
    </w:p>
    <w:p w:rsidR="00EC7022" w:rsidRPr="00AF6B65" w:rsidRDefault="00EC7022"/>
    <w:p w:rsidR="00EC7022" w:rsidRPr="00AF6B65" w:rsidRDefault="00EC7022"/>
    <w:p w:rsidR="00EC7022" w:rsidRPr="00AF6B65" w:rsidRDefault="00834EAE">
      <w:r w:rsidRPr="00AF6B65">
        <w:rPr>
          <w:rFonts w:eastAsia="Arial"/>
        </w:rPr>
        <w:t xml:space="preserve">This </w:t>
      </w:r>
      <w:proofErr w:type="spellStart"/>
      <w:r w:rsidRPr="00AF6B65">
        <w:rPr>
          <w:rFonts w:eastAsia="Arial"/>
        </w:rPr>
        <w:t>years</w:t>
      </w:r>
      <w:proofErr w:type="spellEnd"/>
      <w:r w:rsidRPr="00AF6B65">
        <w:rPr>
          <w:rFonts w:eastAsia="Arial"/>
        </w:rPr>
        <w:t xml:space="preserve"> chapter activities began with the back to school picnic which is a community event where the Rho Chi  chapter at ISU hosts a gathering in order to let the community and the new pharmacy students better get to know one another. This event has been going on for at least the past four years and has been sponsored by Rite Aid. They have been gracious enough to cover all of the financial costs such as food and decorations. Each campus (Boise and Pocatello) hold their own back to school picnic which is typically done in the first week of new academic year. This year we had a </w:t>
      </w:r>
      <w:proofErr w:type="spellStart"/>
      <w:r w:rsidRPr="00AF6B65">
        <w:rPr>
          <w:rFonts w:eastAsia="Arial"/>
        </w:rPr>
        <w:t>turn out</w:t>
      </w:r>
      <w:proofErr w:type="spellEnd"/>
      <w:r w:rsidRPr="00AF6B65">
        <w:rPr>
          <w:rFonts w:eastAsia="Arial"/>
        </w:rPr>
        <w:t xml:space="preserve"> of about 300 people in Pocatello and 150 in Boise. The next activity that the Rho Chi chapter at ISU performed was to host study sessions where we discussed proper study habits and how to best approach preparation for studying for upcoming tests. This service was mostly utilized by new P1 students in their first semester of pharmacy school. The next main activity that we had was new member initiation and voting. This was fairly straight forward other than it was difficult to coordinate for both sides of campus to meet at the same time via video communication. All members were unanimously voted in and the initiation ceremony was held on April 13th, 2015. The ceremony script was closely followed and was held without incident. Afterwards was dinner at a local restaurant that had the majority of new member in attendance. This year we allowed for the dinner to be voluntary due many of the new members fear of costs associated with joining and dues. In general, all who attended the dinner enjoyed themselves.</w:t>
      </w:r>
    </w:p>
    <w:p w:rsidR="00EC7022" w:rsidRPr="00AF6B65" w:rsidRDefault="00EC7022"/>
    <w:p w:rsidR="00EC7022" w:rsidRPr="00AF6B65" w:rsidRDefault="00834EAE">
      <w:r w:rsidRPr="00AF6B65">
        <w:rPr>
          <w:rFonts w:eastAsia="Arial"/>
          <w:b/>
        </w:rPr>
        <w:t>Financial/ Budgeting</w:t>
      </w:r>
      <w:r w:rsidRPr="00AF6B65">
        <w:rPr>
          <w:rFonts w:eastAsia="Arial"/>
        </w:rPr>
        <w:t>: Provide information on how your budget was determined and approved and how it supported your chapter’s activities. Include information on fund-raising that was conducted to meet this budget. (Limit 250 words) (See Appendix 2 for Budget Example Template.)  (For split campuses, please reference the budget items by campus.)</w:t>
      </w:r>
    </w:p>
    <w:p w:rsidR="00EC7022" w:rsidRPr="00AF6B65" w:rsidRDefault="00EC7022"/>
    <w:p w:rsidR="00EC7022" w:rsidRPr="00AF6B65" w:rsidRDefault="00834EAE">
      <w:r w:rsidRPr="00AF6B65">
        <w:rPr>
          <w:rFonts w:eastAsia="Arial"/>
        </w:rPr>
        <w:t xml:space="preserve">The budget was approved by the Rho Chi Officers. We did this by determining how much money was needed for new </w:t>
      </w:r>
      <w:proofErr w:type="spellStart"/>
      <w:proofErr w:type="gramStart"/>
      <w:r w:rsidRPr="00AF6B65">
        <w:rPr>
          <w:rFonts w:eastAsia="Arial"/>
        </w:rPr>
        <w:t>members</w:t>
      </w:r>
      <w:proofErr w:type="spellEnd"/>
      <w:proofErr w:type="gramEnd"/>
      <w:r w:rsidRPr="00AF6B65">
        <w:rPr>
          <w:rFonts w:eastAsia="Arial"/>
        </w:rPr>
        <w:t xml:space="preserve"> dues and the amount of money needed in order to host the back to school picnic on both the Pocatello and Boise campuses. We then used last </w:t>
      </w:r>
      <w:proofErr w:type="spellStart"/>
      <w:r w:rsidRPr="00AF6B65">
        <w:rPr>
          <w:rFonts w:eastAsia="Arial"/>
        </w:rPr>
        <w:t>years</w:t>
      </w:r>
      <w:proofErr w:type="spellEnd"/>
      <w:r w:rsidRPr="00AF6B65">
        <w:rPr>
          <w:rFonts w:eastAsia="Arial"/>
        </w:rPr>
        <w:t xml:space="preserve"> costs to determine how much money would be needed to properly host the picnic and subtracted that from what was donated by Rite Aid.</w:t>
      </w:r>
    </w:p>
    <w:p w:rsidR="00EC7022" w:rsidRPr="00AF6B65" w:rsidRDefault="00EC7022"/>
    <w:p w:rsidR="00EC7022" w:rsidRPr="00AF6B65" w:rsidRDefault="00EC7022"/>
    <w:p w:rsidR="00EC7022" w:rsidRPr="00AF6B65" w:rsidRDefault="00834EAE">
      <w:r w:rsidRPr="00AF6B65">
        <w:rPr>
          <w:rFonts w:eastAsia="Arial"/>
          <w:b/>
        </w:rPr>
        <w:t>Initiation Function</w:t>
      </w:r>
      <w:r w:rsidRPr="00AF6B65">
        <w:rPr>
          <w:rFonts w:eastAsia="Arial"/>
        </w:rPr>
        <w:t>: Describe the initiation function, including when and where it took place, who attended it (not specific names), information on the speaker (if applicable), etc.  (Limit 250 words)</w:t>
      </w:r>
    </w:p>
    <w:p w:rsidR="00EC7022" w:rsidRPr="00AF6B65" w:rsidRDefault="00EC7022"/>
    <w:p w:rsidR="00EC7022" w:rsidRPr="00AF6B65" w:rsidRDefault="00834EAE">
      <w:r w:rsidRPr="00AF6B65">
        <w:rPr>
          <w:rFonts w:eastAsia="Arial"/>
        </w:rPr>
        <w:t>The initiation took place on both the Pocatello and Boise campus at the same time via video communication on 13 April 2015. There where 21 people in attendance. There was not a speaker except for the Rho Chi advisor.</w:t>
      </w:r>
    </w:p>
    <w:p w:rsidR="00EC7022" w:rsidRPr="00AF6B65" w:rsidRDefault="00EC7022"/>
    <w:p w:rsidR="00EC7022" w:rsidRPr="00AF6B65" w:rsidRDefault="00834EAE">
      <w:r w:rsidRPr="00AF6B65">
        <w:rPr>
          <w:rFonts w:eastAsia="Arial"/>
          <w:b/>
        </w:rPr>
        <w:t>Evaluation/Reflection</w:t>
      </w:r>
      <w:r w:rsidRPr="00AF6B65">
        <w:rPr>
          <w:rFonts w:eastAsia="Arial"/>
        </w:rPr>
        <w:t>: Provide a reflective paragraph that evaluates the effectiveness of your activities and ways to improve. (Limit 500 words)</w:t>
      </w:r>
    </w:p>
    <w:p w:rsidR="00EC7022" w:rsidRPr="00AF6B65" w:rsidRDefault="00EC7022"/>
    <w:p w:rsidR="00EC7022" w:rsidRPr="00AF6B65" w:rsidRDefault="00834EAE">
      <w:r w:rsidRPr="00AF6B65">
        <w:rPr>
          <w:rFonts w:eastAsia="Arial"/>
        </w:rPr>
        <w:t>I found that our activities were very effective at bringing awareness to the Rho Chi Society and furthering our mission. We did this by hosting the back to school picnics which had at least 400 people in attendance, the monthly teacher and faculty of month award, and simply speaking with other students about what it takes to become a Rho Chi member. I do not think there is now a current student or faculty member that does not know what Rho Chi is and what it means and take to become a member.</w:t>
      </w:r>
    </w:p>
    <w:p w:rsidR="00EC7022" w:rsidRPr="00AF6B65" w:rsidRDefault="00834EAE">
      <w:r w:rsidRPr="00AF6B65">
        <w:br w:type="page"/>
      </w:r>
    </w:p>
    <w:p w:rsidR="00EC7022" w:rsidRPr="00AF6B65" w:rsidRDefault="00EC7022">
      <w:pPr>
        <w:widowControl w:val="0"/>
        <w:spacing w:line="276" w:lineRule="auto"/>
      </w:pPr>
    </w:p>
    <w:p w:rsidR="00EC7022" w:rsidRPr="00AF6B65" w:rsidRDefault="00834EAE">
      <w:pPr>
        <w:jc w:val="center"/>
      </w:pPr>
      <w:r w:rsidRPr="00AF6B65">
        <w:rPr>
          <w:rFonts w:eastAsia="Arial"/>
          <w:b/>
        </w:rPr>
        <w:t>Appendix 1</w:t>
      </w:r>
    </w:p>
    <w:p w:rsidR="00EC7022" w:rsidRPr="00AF6B65" w:rsidRDefault="00EC7022">
      <w:pPr>
        <w:jc w:val="center"/>
      </w:pPr>
    </w:p>
    <w:p w:rsidR="00EC7022" w:rsidRPr="00AF6B65" w:rsidRDefault="00834EAE">
      <w:pPr>
        <w:jc w:val="center"/>
      </w:pPr>
      <w:r w:rsidRPr="00AF6B65">
        <w:rPr>
          <w:rFonts w:eastAsia="Arial"/>
          <w:b/>
        </w:rPr>
        <w:t>Chapter Activities Report Template</w:t>
      </w:r>
    </w:p>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033"/>
        <w:gridCol w:w="1410"/>
        <w:gridCol w:w="1396"/>
        <w:gridCol w:w="1741"/>
        <w:gridCol w:w="1973"/>
        <w:gridCol w:w="1447"/>
        <w:gridCol w:w="1717"/>
        <w:gridCol w:w="2513"/>
      </w:tblGrid>
      <w:tr w:rsidR="00EC7022" w:rsidRPr="00AF6B65">
        <w:tc>
          <w:tcPr>
            <w:tcW w:w="12247" w:type="dxa"/>
            <w:gridSpan w:val="8"/>
          </w:tcPr>
          <w:p w:rsidR="00EC7022" w:rsidRPr="00AF6B65" w:rsidRDefault="00834EAE">
            <w:r w:rsidRPr="00AF6B65">
              <w:rPr>
                <w:sz w:val="22"/>
                <w:u w:val="single"/>
              </w:rPr>
              <w:t>[Chapter Name, School Name] Activity Table</w:t>
            </w:r>
          </w:p>
        </w:tc>
        <w:tc>
          <w:tcPr>
            <w:tcW w:w="2513" w:type="dxa"/>
          </w:tcPr>
          <w:p w:rsidR="00EC7022" w:rsidRPr="00AF6B65" w:rsidRDefault="00EC7022"/>
        </w:tc>
      </w:tr>
      <w:tr w:rsidR="00EC7022" w:rsidRPr="00AF6B65">
        <w:tc>
          <w:tcPr>
            <w:tcW w:w="1530" w:type="dxa"/>
            <w:shd w:val="clear" w:color="auto" w:fill="F2F2F2"/>
          </w:tcPr>
          <w:p w:rsidR="00EC7022" w:rsidRPr="00AF6B65" w:rsidRDefault="00834EAE">
            <w:r w:rsidRPr="00AF6B65">
              <w:rPr>
                <w:sz w:val="22"/>
              </w:rPr>
              <w:t>Category of Activity</w:t>
            </w:r>
            <w:r w:rsidRPr="00AF6B65">
              <w:rPr>
                <w:sz w:val="22"/>
                <w:vertAlign w:val="superscript"/>
              </w:rPr>
              <w:t>1</w:t>
            </w:r>
          </w:p>
        </w:tc>
        <w:tc>
          <w:tcPr>
            <w:tcW w:w="1033" w:type="dxa"/>
            <w:shd w:val="clear" w:color="auto" w:fill="F2F2F2"/>
          </w:tcPr>
          <w:p w:rsidR="00EC7022" w:rsidRPr="00AF6B65" w:rsidRDefault="00834EAE">
            <w:r w:rsidRPr="00AF6B65">
              <w:rPr>
                <w:sz w:val="22"/>
              </w:rPr>
              <w:t>Title of Activity</w:t>
            </w:r>
          </w:p>
        </w:tc>
        <w:tc>
          <w:tcPr>
            <w:tcW w:w="1410" w:type="dxa"/>
            <w:shd w:val="clear" w:color="auto" w:fill="F2F2F2"/>
          </w:tcPr>
          <w:p w:rsidR="00EC7022" w:rsidRPr="00AF6B65" w:rsidRDefault="00834EAE">
            <w:r w:rsidRPr="00AF6B65">
              <w:rPr>
                <w:sz w:val="22"/>
              </w:rPr>
              <w:t>Brief Description</w:t>
            </w:r>
            <w:r w:rsidRPr="00AF6B65">
              <w:rPr>
                <w:sz w:val="22"/>
                <w:vertAlign w:val="superscript"/>
              </w:rPr>
              <w:t>2</w:t>
            </w:r>
          </w:p>
        </w:tc>
        <w:tc>
          <w:tcPr>
            <w:tcW w:w="1396" w:type="dxa"/>
            <w:shd w:val="clear" w:color="auto" w:fill="F2F2F2"/>
          </w:tcPr>
          <w:p w:rsidR="00EC7022" w:rsidRPr="00AF6B65" w:rsidRDefault="00834EAE">
            <w:r w:rsidRPr="00AF6B65">
              <w:rPr>
                <w:sz w:val="22"/>
              </w:rPr>
              <w:t>How Does This Activity Align With the Rho Chi Mission Statement?</w:t>
            </w:r>
          </w:p>
        </w:tc>
        <w:tc>
          <w:tcPr>
            <w:tcW w:w="1741" w:type="dxa"/>
            <w:shd w:val="clear" w:color="auto" w:fill="F2F2F2"/>
          </w:tcPr>
          <w:p w:rsidR="00EC7022" w:rsidRPr="00AF6B65" w:rsidRDefault="00834EAE">
            <w:r w:rsidRPr="00AF6B65">
              <w:rPr>
                <w:sz w:val="22"/>
              </w:rPr>
              <w:t>Years the Activity has Been Ongoing?</w:t>
            </w:r>
          </w:p>
        </w:tc>
        <w:tc>
          <w:tcPr>
            <w:tcW w:w="1973" w:type="dxa"/>
            <w:shd w:val="clear" w:color="auto" w:fill="F2F2F2"/>
          </w:tcPr>
          <w:p w:rsidR="00EC7022" w:rsidRPr="00AF6B65" w:rsidRDefault="00834EAE">
            <w:r w:rsidRPr="00AF6B65">
              <w:rPr>
                <w:sz w:val="22"/>
              </w:rPr>
              <w:t>If Activity has Been Ongoing for &gt;1 Year, What Evaluations Have Been Done to Assess the Success of the Activity and What Improvements Have Been Done Over the Past Year?</w:t>
            </w:r>
          </w:p>
        </w:tc>
        <w:tc>
          <w:tcPr>
            <w:tcW w:w="1447" w:type="dxa"/>
            <w:shd w:val="clear" w:color="auto" w:fill="F2F2F2"/>
          </w:tcPr>
          <w:p w:rsidR="00EC7022" w:rsidRPr="00AF6B65" w:rsidRDefault="00834EAE">
            <w:r w:rsidRPr="00AF6B65">
              <w:rPr>
                <w:sz w:val="22"/>
              </w:rPr>
              <w:t>How Many Members Participated in the Activity?</w:t>
            </w:r>
          </w:p>
        </w:tc>
        <w:tc>
          <w:tcPr>
            <w:tcW w:w="1717" w:type="dxa"/>
            <w:shd w:val="clear" w:color="auto" w:fill="F2F2F2"/>
          </w:tcPr>
          <w:p w:rsidR="00EC7022" w:rsidRPr="00AF6B65" w:rsidRDefault="00834EAE">
            <w:r w:rsidRPr="00AF6B65">
              <w:rPr>
                <w:sz w:val="22"/>
              </w:rPr>
              <w:t>How Many Students (non-members) and/or Patients were impacted by the Activity?</w:t>
            </w:r>
          </w:p>
        </w:tc>
        <w:tc>
          <w:tcPr>
            <w:tcW w:w="2513" w:type="dxa"/>
            <w:shd w:val="clear" w:color="auto" w:fill="F2F2F2"/>
          </w:tcPr>
          <w:p w:rsidR="00EC7022" w:rsidRPr="00AF6B65" w:rsidRDefault="00834EAE">
            <w:r w:rsidRPr="00AF6B65">
              <w:rPr>
                <w:sz w:val="22"/>
              </w:rPr>
              <w:t>Financial Information for the Activity [Budget Required, Fundraising Amount]</w:t>
            </w:r>
          </w:p>
        </w:tc>
      </w:tr>
      <w:tr w:rsidR="00EC7022" w:rsidRPr="00AF6B65">
        <w:trPr>
          <w:trHeight w:val="2020"/>
        </w:trPr>
        <w:tc>
          <w:tcPr>
            <w:tcW w:w="1530" w:type="dxa"/>
            <w:shd w:val="clear" w:color="auto" w:fill="FFC000"/>
          </w:tcPr>
          <w:p w:rsidR="00EC7022" w:rsidRPr="00AF6B65" w:rsidRDefault="00834EAE">
            <w:r w:rsidRPr="00AF6B65">
              <w:rPr>
                <w:sz w:val="22"/>
              </w:rPr>
              <w:t>Intellectual Leadership Activities (i.e., tutoring, sponsored lectures, poster sessions, etc.)</w:t>
            </w:r>
          </w:p>
        </w:tc>
        <w:tc>
          <w:tcPr>
            <w:tcW w:w="1033" w:type="dxa"/>
            <w:shd w:val="clear" w:color="auto" w:fill="FFC000"/>
          </w:tcPr>
          <w:p w:rsidR="00EC7022" w:rsidRPr="00AF6B65" w:rsidRDefault="00834EAE">
            <w:r w:rsidRPr="00AF6B65">
              <w:rPr>
                <w:sz w:val="22"/>
              </w:rPr>
              <w:t>Study help</w:t>
            </w:r>
          </w:p>
        </w:tc>
        <w:tc>
          <w:tcPr>
            <w:tcW w:w="1410" w:type="dxa"/>
            <w:shd w:val="clear" w:color="auto" w:fill="FFC000"/>
          </w:tcPr>
          <w:p w:rsidR="00EC7022" w:rsidRPr="00AF6B65" w:rsidRDefault="00834EAE">
            <w:r w:rsidRPr="00AF6B65">
              <w:rPr>
                <w:sz w:val="22"/>
              </w:rPr>
              <w:t>gave presentation on how to properly prepare for tests and understand proper study habits</w:t>
            </w:r>
          </w:p>
        </w:tc>
        <w:tc>
          <w:tcPr>
            <w:tcW w:w="1396" w:type="dxa"/>
            <w:shd w:val="clear" w:color="auto" w:fill="FFC000"/>
          </w:tcPr>
          <w:p w:rsidR="00EC7022" w:rsidRPr="00AF6B65" w:rsidRDefault="00834EAE">
            <w:r w:rsidRPr="00AF6B65">
              <w:rPr>
                <w:sz w:val="22"/>
              </w:rPr>
              <w:t xml:space="preserve">Furthers the knowledge and readiness of students to achieve academic success </w:t>
            </w:r>
          </w:p>
        </w:tc>
        <w:tc>
          <w:tcPr>
            <w:tcW w:w="1741" w:type="dxa"/>
            <w:shd w:val="clear" w:color="auto" w:fill="FFC000"/>
          </w:tcPr>
          <w:p w:rsidR="00EC7022" w:rsidRPr="00AF6B65" w:rsidRDefault="00834EAE">
            <w:r w:rsidRPr="00AF6B65">
              <w:rPr>
                <w:sz w:val="22"/>
              </w:rPr>
              <w:t>1 year</w:t>
            </w:r>
          </w:p>
        </w:tc>
        <w:tc>
          <w:tcPr>
            <w:tcW w:w="1973" w:type="dxa"/>
            <w:shd w:val="clear" w:color="auto" w:fill="FFC000"/>
          </w:tcPr>
          <w:p w:rsidR="00EC7022" w:rsidRPr="00AF6B65" w:rsidRDefault="00EC7022"/>
        </w:tc>
        <w:tc>
          <w:tcPr>
            <w:tcW w:w="1447" w:type="dxa"/>
            <w:shd w:val="clear" w:color="auto" w:fill="FFC000"/>
          </w:tcPr>
          <w:p w:rsidR="00EC7022" w:rsidRPr="00AF6B65" w:rsidRDefault="00834EAE">
            <w:r w:rsidRPr="00AF6B65">
              <w:rPr>
                <w:sz w:val="22"/>
              </w:rPr>
              <w:t>2</w:t>
            </w:r>
          </w:p>
        </w:tc>
        <w:tc>
          <w:tcPr>
            <w:tcW w:w="1717" w:type="dxa"/>
            <w:shd w:val="clear" w:color="auto" w:fill="FFC000"/>
          </w:tcPr>
          <w:p w:rsidR="00EC7022" w:rsidRPr="00AF6B65" w:rsidRDefault="00834EAE">
            <w:r w:rsidRPr="00AF6B65">
              <w:rPr>
                <w:sz w:val="22"/>
              </w:rPr>
              <w:t>6</w:t>
            </w:r>
          </w:p>
        </w:tc>
        <w:tc>
          <w:tcPr>
            <w:tcW w:w="2513" w:type="dxa"/>
            <w:shd w:val="clear" w:color="auto" w:fill="FFC000"/>
          </w:tcPr>
          <w:p w:rsidR="00EC7022" w:rsidRPr="00AF6B65" w:rsidRDefault="00AF6B65">
            <w:r>
              <w:rPr>
                <w:sz w:val="22"/>
              </w:rPr>
              <w:t>no</w:t>
            </w:r>
            <w:r w:rsidR="00834EAE" w:rsidRPr="00AF6B65">
              <w:rPr>
                <w:sz w:val="22"/>
              </w:rPr>
              <w:t xml:space="preserve"> funds </w:t>
            </w:r>
            <w:r w:rsidRPr="00AF6B65">
              <w:rPr>
                <w:sz w:val="22"/>
              </w:rPr>
              <w:t>were</w:t>
            </w:r>
            <w:r w:rsidR="00834EAE" w:rsidRPr="00AF6B65">
              <w:rPr>
                <w:sz w:val="22"/>
              </w:rPr>
              <w:t xml:space="preserve"> used</w:t>
            </w:r>
          </w:p>
        </w:tc>
      </w:tr>
      <w:tr w:rsidR="00EC7022" w:rsidRPr="00AF6B65">
        <w:trPr>
          <w:trHeight w:val="1500"/>
        </w:trPr>
        <w:tc>
          <w:tcPr>
            <w:tcW w:w="1530" w:type="dxa"/>
          </w:tcPr>
          <w:p w:rsidR="00EC7022" w:rsidRPr="00AF6B65" w:rsidRDefault="00834EAE">
            <w:r w:rsidRPr="00AF6B65">
              <w:rPr>
                <w:sz w:val="22"/>
              </w:rPr>
              <w:t>College of Pharmacy Events [non-academic, non-patient outreach]</w:t>
            </w:r>
          </w:p>
        </w:tc>
        <w:tc>
          <w:tcPr>
            <w:tcW w:w="1033" w:type="dxa"/>
          </w:tcPr>
          <w:p w:rsidR="00EC7022" w:rsidRPr="00AF6B65" w:rsidRDefault="00834EAE">
            <w:r w:rsidRPr="00AF6B65">
              <w:rPr>
                <w:sz w:val="22"/>
              </w:rPr>
              <w:t>Back to school Picnic</w:t>
            </w:r>
          </w:p>
        </w:tc>
        <w:tc>
          <w:tcPr>
            <w:tcW w:w="1410" w:type="dxa"/>
          </w:tcPr>
          <w:p w:rsidR="00EC7022" w:rsidRPr="00AF6B65" w:rsidRDefault="00834EAE">
            <w:r w:rsidRPr="00AF6B65">
              <w:rPr>
                <w:sz w:val="22"/>
              </w:rPr>
              <w:t>A picnic to welcome all students and their families</w:t>
            </w:r>
          </w:p>
        </w:tc>
        <w:tc>
          <w:tcPr>
            <w:tcW w:w="1396" w:type="dxa"/>
          </w:tcPr>
          <w:p w:rsidR="00EC7022" w:rsidRPr="00AF6B65" w:rsidRDefault="00834EAE">
            <w:r w:rsidRPr="00AF6B65">
              <w:rPr>
                <w:sz w:val="22"/>
              </w:rPr>
              <w:t>furthered the communities awareness of the Rho Chi Society</w:t>
            </w:r>
          </w:p>
        </w:tc>
        <w:tc>
          <w:tcPr>
            <w:tcW w:w="1741" w:type="dxa"/>
          </w:tcPr>
          <w:p w:rsidR="00EC7022" w:rsidRPr="00AF6B65" w:rsidRDefault="00834EAE">
            <w:r w:rsidRPr="00AF6B65">
              <w:rPr>
                <w:sz w:val="22"/>
              </w:rPr>
              <w:t>at least 4 years</w:t>
            </w:r>
          </w:p>
        </w:tc>
        <w:tc>
          <w:tcPr>
            <w:tcW w:w="1973" w:type="dxa"/>
          </w:tcPr>
          <w:p w:rsidR="00EC7022" w:rsidRPr="00AF6B65" w:rsidRDefault="00834EAE">
            <w:r w:rsidRPr="00AF6B65">
              <w:rPr>
                <w:sz w:val="22"/>
              </w:rPr>
              <w:t>number of people in attendance</w:t>
            </w:r>
          </w:p>
        </w:tc>
        <w:tc>
          <w:tcPr>
            <w:tcW w:w="1447" w:type="dxa"/>
          </w:tcPr>
          <w:p w:rsidR="00EC7022" w:rsidRPr="00AF6B65" w:rsidRDefault="00834EAE">
            <w:r w:rsidRPr="00AF6B65">
              <w:rPr>
                <w:sz w:val="22"/>
              </w:rPr>
              <w:t>14</w:t>
            </w:r>
          </w:p>
        </w:tc>
        <w:tc>
          <w:tcPr>
            <w:tcW w:w="1717" w:type="dxa"/>
          </w:tcPr>
          <w:p w:rsidR="00EC7022" w:rsidRPr="00AF6B65" w:rsidRDefault="00834EAE">
            <w:r w:rsidRPr="00AF6B65">
              <w:rPr>
                <w:sz w:val="22"/>
              </w:rPr>
              <w:t>400</w:t>
            </w:r>
          </w:p>
        </w:tc>
        <w:tc>
          <w:tcPr>
            <w:tcW w:w="2513" w:type="dxa"/>
          </w:tcPr>
          <w:p w:rsidR="00EC7022" w:rsidRPr="00AF6B65" w:rsidRDefault="00834EAE">
            <w:r w:rsidRPr="00AF6B65">
              <w:rPr>
                <w:sz w:val="22"/>
              </w:rPr>
              <w:t>1200 dollars. Which was donated by Rite Aid</w:t>
            </w:r>
          </w:p>
        </w:tc>
      </w:tr>
      <w:tr w:rsidR="00EC7022" w:rsidRPr="00AF6B65">
        <w:trPr>
          <w:trHeight w:val="1260"/>
        </w:trPr>
        <w:tc>
          <w:tcPr>
            <w:tcW w:w="1530" w:type="dxa"/>
            <w:shd w:val="clear" w:color="auto" w:fill="FFC000"/>
          </w:tcPr>
          <w:p w:rsidR="00EC7022" w:rsidRPr="00AF6B65" w:rsidRDefault="00834EAE">
            <w:r w:rsidRPr="00AF6B65">
              <w:rPr>
                <w:sz w:val="22"/>
              </w:rPr>
              <w:t>Patient Outreach Events/ Community Service</w:t>
            </w:r>
          </w:p>
        </w:tc>
        <w:tc>
          <w:tcPr>
            <w:tcW w:w="1033" w:type="dxa"/>
            <w:shd w:val="clear" w:color="auto" w:fill="FFC000"/>
          </w:tcPr>
          <w:p w:rsidR="00EC7022" w:rsidRPr="00AF6B65" w:rsidRDefault="00EC7022"/>
        </w:tc>
        <w:tc>
          <w:tcPr>
            <w:tcW w:w="1410" w:type="dxa"/>
            <w:shd w:val="clear" w:color="auto" w:fill="FFC000"/>
          </w:tcPr>
          <w:p w:rsidR="00EC7022" w:rsidRPr="00AF6B65" w:rsidRDefault="00EC7022"/>
        </w:tc>
        <w:tc>
          <w:tcPr>
            <w:tcW w:w="1396" w:type="dxa"/>
            <w:shd w:val="clear" w:color="auto" w:fill="FFC000"/>
          </w:tcPr>
          <w:p w:rsidR="00EC7022" w:rsidRPr="00AF6B65" w:rsidRDefault="00EC7022"/>
        </w:tc>
        <w:tc>
          <w:tcPr>
            <w:tcW w:w="1741" w:type="dxa"/>
            <w:shd w:val="clear" w:color="auto" w:fill="FFC000"/>
          </w:tcPr>
          <w:p w:rsidR="00EC7022" w:rsidRPr="00AF6B65" w:rsidRDefault="00EC7022"/>
        </w:tc>
        <w:tc>
          <w:tcPr>
            <w:tcW w:w="1973" w:type="dxa"/>
            <w:shd w:val="clear" w:color="auto" w:fill="FFC000"/>
          </w:tcPr>
          <w:p w:rsidR="00EC7022" w:rsidRPr="00AF6B65" w:rsidRDefault="00EC7022"/>
        </w:tc>
        <w:tc>
          <w:tcPr>
            <w:tcW w:w="1447" w:type="dxa"/>
            <w:shd w:val="clear" w:color="auto" w:fill="FFC000"/>
          </w:tcPr>
          <w:p w:rsidR="00EC7022" w:rsidRPr="00AF6B65" w:rsidRDefault="00EC7022"/>
        </w:tc>
        <w:tc>
          <w:tcPr>
            <w:tcW w:w="1717" w:type="dxa"/>
            <w:shd w:val="clear" w:color="auto" w:fill="FFC000"/>
          </w:tcPr>
          <w:p w:rsidR="00EC7022" w:rsidRPr="00AF6B65" w:rsidRDefault="00EC7022"/>
        </w:tc>
        <w:tc>
          <w:tcPr>
            <w:tcW w:w="2513" w:type="dxa"/>
            <w:shd w:val="clear" w:color="auto" w:fill="FFC000"/>
          </w:tcPr>
          <w:p w:rsidR="00EC7022" w:rsidRPr="00AF6B65" w:rsidRDefault="00EC7022"/>
        </w:tc>
      </w:tr>
      <w:tr w:rsidR="00EC7022" w:rsidRPr="00AF6B65">
        <w:trPr>
          <w:trHeight w:val="760"/>
        </w:trPr>
        <w:tc>
          <w:tcPr>
            <w:tcW w:w="1530" w:type="dxa"/>
            <w:shd w:val="clear" w:color="auto" w:fill="FFFFFF"/>
          </w:tcPr>
          <w:p w:rsidR="00EC7022" w:rsidRPr="00AF6B65" w:rsidRDefault="00834EAE">
            <w:r w:rsidRPr="00AF6B65">
              <w:rPr>
                <w:sz w:val="22"/>
              </w:rPr>
              <w:t>Fundraising Events</w:t>
            </w:r>
          </w:p>
        </w:tc>
        <w:tc>
          <w:tcPr>
            <w:tcW w:w="1033" w:type="dxa"/>
            <w:shd w:val="clear" w:color="auto" w:fill="FFFFFF"/>
          </w:tcPr>
          <w:p w:rsidR="00EC7022" w:rsidRPr="00AF6B65" w:rsidRDefault="00EC7022"/>
        </w:tc>
        <w:tc>
          <w:tcPr>
            <w:tcW w:w="1410" w:type="dxa"/>
            <w:shd w:val="clear" w:color="auto" w:fill="FFFFFF"/>
          </w:tcPr>
          <w:p w:rsidR="00EC7022" w:rsidRPr="00AF6B65" w:rsidRDefault="00EC7022"/>
        </w:tc>
        <w:tc>
          <w:tcPr>
            <w:tcW w:w="1396" w:type="dxa"/>
            <w:shd w:val="clear" w:color="auto" w:fill="FFFFFF"/>
          </w:tcPr>
          <w:p w:rsidR="00EC7022" w:rsidRPr="00AF6B65" w:rsidRDefault="00EC7022"/>
        </w:tc>
        <w:tc>
          <w:tcPr>
            <w:tcW w:w="1741" w:type="dxa"/>
            <w:shd w:val="clear" w:color="auto" w:fill="FFFFFF"/>
          </w:tcPr>
          <w:p w:rsidR="00EC7022" w:rsidRPr="00AF6B65" w:rsidRDefault="00EC7022"/>
        </w:tc>
        <w:tc>
          <w:tcPr>
            <w:tcW w:w="1973" w:type="dxa"/>
            <w:shd w:val="clear" w:color="auto" w:fill="FFFFFF"/>
          </w:tcPr>
          <w:p w:rsidR="00EC7022" w:rsidRPr="00AF6B65" w:rsidRDefault="00EC7022"/>
        </w:tc>
        <w:tc>
          <w:tcPr>
            <w:tcW w:w="1447" w:type="dxa"/>
            <w:shd w:val="clear" w:color="auto" w:fill="FFFFFF"/>
          </w:tcPr>
          <w:p w:rsidR="00EC7022" w:rsidRPr="00AF6B65" w:rsidRDefault="00EC7022"/>
        </w:tc>
        <w:tc>
          <w:tcPr>
            <w:tcW w:w="1717" w:type="dxa"/>
            <w:shd w:val="clear" w:color="auto" w:fill="FFFFFF"/>
          </w:tcPr>
          <w:p w:rsidR="00EC7022" w:rsidRPr="00AF6B65" w:rsidRDefault="00EC7022"/>
        </w:tc>
        <w:tc>
          <w:tcPr>
            <w:tcW w:w="2513" w:type="dxa"/>
            <w:shd w:val="clear" w:color="auto" w:fill="FFFFFF"/>
          </w:tcPr>
          <w:p w:rsidR="00EC7022" w:rsidRPr="00AF6B65" w:rsidRDefault="00EC7022"/>
        </w:tc>
      </w:tr>
    </w:tbl>
    <w:p w:rsidR="00EC7022" w:rsidRPr="00AF6B65" w:rsidRDefault="00EC7022">
      <w:pPr>
        <w:spacing w:after="200" w:line="276" w:lineRule="auto"/>
      </w:pPr>
    </w:p>
    <w:p w:rsidR="00EC7022" w:rsidRPr="00AF6B65" w:rsidRDefault="00834EAE">
      <w:pPr>
        <w:spacing w:after="200" w:line="276" w:lineRule="auto"/>
        <w:ind w:hanging="810"/>
      </w:pPr>
      <w:r w:rsidRPr="00AF6B65">
        <w:rPr>
          <w:sz w:val="22"/>
        </w:rPr>
        <w:t>Guidelines:</w:t>
      </w:r>
    </w:p>
    <w:p w:rsidR="00EC7022" w:rsidRPr="00AF6B65" w:rsidRDefault="00834EAE">
      <w:pPr>
        <w:numPr>
          <w:ilvl w:val="0"/>
          <w:numId w:val="1"/>
        </w:numPr>
        <w:spacing w:after="200" w:line="276" w:lineRule="auto"/>
        <w:ind w:left="270" w:hanging="360"/>
        <w:contextualSpacing/>
        <w:rPr>
          <w:sz w:val="22"/>
        </w:rPr>
      </w:pPr>
      <w:r w:rsidRPr="00AF6B65">
        <w:rPr>
          <w:sz w:val="22"/>
        </w:rPr>
        <w:t>For each activity within a category use a separate line in the table (you may add more lines as you see fit)</w:t>
      </w:r>
    </w:p>
    <w:p w:rsidR="00EC7022" w:rsidRPr="00AF6B65" w:rsidRDefault="00834EAE">
      <w:pPr>
        <w:numPr>
          <w:ilvl w:val="0"/>
          <w:numId w:val="1"/>
        </w:numPr>
        <w:spacing w:after="200" w:line="276" w:lineRule="auto"/>
        <w:ind w:left="270" w:hanging="360"/>
        <w:contextualSpacing/>
        <w:rPr>
          <w:sz w:val="22"/>
        </w:rPr>
      </w:pPr>
      <w:r w:rsidRPr="00AF6B65">
        <w:rPr>
          <w:sz w:val="22"/>
        </w:rPr>
        <w:t>Keep your descriptions of each activity brief limiting overall table to 3 pages or less.</w:t>
      </w:r>
    </w:p>
    <w:p w:rsidR="00EC7022" w:rsidRPr="00AF6B65" w:rsidRDefault="00EC7022">
      <w:pPr>
        <w:jc w:val="center"/>
      </w:pPr>
    </w:p>
    <w:p w:rsidR="00EC7022" w:rsidRPr="00AF6B65" w:rsidRDefault="00834EAE">
      <w:r w:rsidRPr="00AF6B65">
        <w:br w:type="page"/>
      </w:r>
    </w:p>
    <w:p w:rsidR="00AF6B65" w:rsidRDefault="00834EAE" w:rsidP="00AF6B65">
      <w:pPr>
        <w:jc w:val="center"/>
      </w:pPr>
      <w:r>
        <w:rPr>
          <w:rFonts w:ascii="Arial" w:eastAsia="Arial" w:hAnsi="Arial" w:cs="Arial"/>
        </w:rPr>
        <w:t>Appendix 2</w:t>
      </w:r>
    </w:p>
    <w:p w:rsidR="00EC7022" w:rsidRDefault="00834EAE" w:rsidP="00AF6B65">
      <w:pPr>
        <w:jc w:val="center"/>
      </w:pPr>
      <w:r>
        <w:rPr>
          <w:rFonts w:ascii="Arial" w:eastAsia="Arial" w:hAnsi="Arial" w:cs="Arial"/>
        </w:rPr>
        <w:t>Rho Chi Chapter Annual Report</w:t>
      </w:r>
    </w:p>
    <w:p w:rsidR="00EC7022" w:rsidRDefault="00834EAE" w:rsidP="00AF6B65">
      <w:pPr>
        <w:jc w:val="center"/>
      </w:pPr>
      <w:r>
        <w:rPr>
          <w:noProof/>
        </w:rPr>
        <w:drawing>
          <wp:inline distT="114300" distB="114300" distL="114300" distR="114300">
            <wp:extent cx="4667250" cy="4072255"/>
            <wp:effectExtent l="0" t="0" r="0" b="4445"/>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0"/>
                    <a:srcRect/>
                    <a:stretch>
                      <a:fillRect/>
                    </a:stretch>
                  </pic:blipFill>
                  <pic:spPr>
                    <a:xfrm>
                      <a:off x="0" y="0"/>
                      <a:ext cx="4667331" cy="4072326"/>
                    </a:xfrm>
                    <a:prstGeom prst="rect">
                      <a:avLst/>
                    </a:prstGeom>
                    <a:ln/>
                  </pic:spPr>
                </pic:pic>
              </a:graphicData>
            </a:graphic>
          </wp:inline>
        </w:drawing>
      </w:r>
    </w:p>
    <w:sectPr w:rsidR="00EC7022">
      <w:headerReference w:type="default" r:id="rId21"/>
      <w:footerReference w:type="default" r:id="rId22"/>
      <w:headerReference w:type="first" r:id="rId23"/>
      <w:footerReference w:type="first" r:id="rId24"/>
      <w:pgSz w:w="15840" w:h="122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AE" w:rsidRDefault="00834EAE">
      <w:r>
        <w:separator/>
      </w:r>
    </w:p>
  </w:endnote>
  <w:endnote w:type="continuationSeparator" w:id="0">
    <w:p w:rsidR="00834EAE" w:rsidRDefault="0083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22" w:rsidRDefault="00834EAE">
    <w:pPr>
      <w:tabs>
        <w:tab w:val="center" w:pos="4320"/>
        <w:tab w:val="right" w:pos="8640"/>
      </w:tabs>
      <w:spacing w:after="720"/>
    </w:pPr>
    <w:r>
      <w:rPr>
        <w:b/>
        <w:sz w:val="20"/>
      </w:rPr>
      <w:t>Revised 9-12-14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22" w:rsidRDefault="00834EAE">
    <w:pPr>
      <w:tabs>
        <w:tab w:val="center" w:pos="4320"/>
        <w:tab w:val="right" w:pos="8640"/>
      </w:tabs>
      <w:jc w:val="center"/>
    </w:pPr>
    <w:r>
      <w:rPr>
        <w:b/>
        <w:sz w:val="20"/>
      </w:rPr>
      <w:t>The Rho Chi Society</w:t>
    </w:r>
  </w:p>
  <w:p w:rsidR="00EC7022" w:rsidRDefault="00834EAE">
    <w:pPr>
      <w:tabs>
        <w:tab w:val="center" w:pos="4320"/>
        <w:tab w:val="right" w:pos="8640"/>
      </w:tabs>
      <w:jc w:val="center"/>
    </w:pPr>
    <w:r>
      <w:rPr>
        <w:b/>
        <w:sz w:val="20"/>
      </w:rPr>
      <w:t>National Office Contact Information:</w:t>
    </w:r>
  </w:p>
  <w:p w:rsidR="00EC7022" w:rsidRDefault="00834EAE">
    <w:pPr>
      <w:tabs>
        <w:tab w:val="center" w:pos="4320"/>
        <w:tab w:val="right" w:pos="8640"/>
      </w:tabs>
      <w:jc w:val="center"/>
    </w:pPr>
    <w:r>
      <w:rPr>
        <w:b/>
        <w:sz w:val="20"/>
      </w:rPr>
      <w:t>Email:  RhoChi@unc.edu</w:t>
    </w:r>
  </w:p>
  <w:p w:rsidR="00EC7022" w:rsidRDefault="00834EAE">
    <w:pPr>
      <w:tabs>
        <w:tab w:val="center" w:pos="4320"/>
        <w:tab w:val="right" w:pos="8640"/>
      </w:tabs>
      <w:jc w:val="center"/>
    </w:pPr>
    <w:r>
      <w:rPr>
        <w:b/>
        <w:sz w:val="20"/>
      </w:rPr>
      <w:t>Telephone:  (919) 843-9001</w:t>
    </w:r>
  </w:p>
  <w:p w:rsidR="00EC7022" w:rsidRDefault="00834EAE">
    <w:pPr>
      <w:tabs>
        <w:tab w:val="center" w:pos="4320"/>
        <w:tab w:val="right" w:pos="8640"/>
      </w:tabs>
      <w:spacing w:after="720"/>
      <w:jc w:val="center"/>
    </w:pPr>
    <w:r>
      <w:rPr>
        <w:b/>
        <w:sz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AE" w:rsidRDefault="00834EAE">
      <w:r>
        <w:separator/>
      </w:r>
    </w:p>
  </w:footnote>
  <w:footnote w:type="continuationSeparator" w:id="0">
    <w:p w:rsidR="00834EAE" w:rsidRDefault="00834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22" w:rsidRDefault="00834EAE">
    <w:pPr>
      <w:tabs>
        <w:tab w:val="center" w:pos="4320"/>
        <w:tab w:val="right" w:pos="8640"/>
      </w:tabs>
      <w:spacing w:before="720"/>
      <w:ind w:right="360"/>
    </w:pPr>
    <w:r>
      <w:rPr>
        <w:b/>
        <w:sz w:val="20"/>
      </w:rPr>
      <w:t>The Rho Chi Society</w:t>
    </w:r>
  </w:p>
  <w:p w:rsidR="00EC7022" w:rsidRDefault="00834EAE">
    <w:pPr>
      <w:tabs>
        <w:tab w:val="center" w:pos="4320"/>
        <w:tab w:val="right" w:pos="8640"/>
      </w:tabs>
      <w:ind w:right="360"/>
    </w:pPr>
    <w:r>
      <w:rPr>
        <w:b/>
        <w:sz w:val="20"/>
      </w:rPr>
      <w:t xml:space="preserve">Annual Chapter Report </w:t>
    </w:r>
  </w:p>
  <w:p w:rsidR="00EC7022" w:rsidRDefault="00EC7022">
    <w:pPr>
      <w:tabs>
        <w:tab w:val="center" w:pos="4320"/>
        <w:tab w:val="right" w:pos="8640"/>
      </w:tabs>
      <w:ind w:right="360"/>
    </w:pPr>
  </w:p>
  <w:p w:rsidR="00EC7022" w:rsidRDefault="00EC7022">
    <w:pPr>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022" w:rsidRDefault="00834EAE">
    <w:pPr>
      <w:tabs>
        <w:tab w:val="center" w:pos="4320"/>
        <w:tab w:val="right" w:pos="8640"/>
      </w:tabs>
      <w:spacing w:before="720"/>
      <w:jc w:val="center"/>
    </w:pPr>
    <w:r>
      <w:rPr>
        <w:noProof/>
      </w:rPr>
      <w:drawing>
        <wp:inline distT="0" distB="0" distL="114300" distR="114300">
          <wp:extent cx="1315085" cy="9137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EC7022" w:rsidRDefault="00EC7022">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68A"/>
    <w:multiLevelType w:val="multilevel"/>
    <w:tmpl w:val="04FCA5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D290021"/>
    <w:multiLevelType w:val="multilevel"/>
    <w:tmpl w:val="4B0468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22"/>
    <w:rsid w:val="00834EAE"/>
    <w:rsid w:val="00AF6B65"/>
    <w:rsid w:val="00DC6B3F"/>
    <w:rsid w:val="00EC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E6CB8-21E3-4F53-98B9-CF86D35C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8"/>
    </w:rPr>
  </w:style>
  <w:style w:type="paragraph" w:styleId="Subtitle">
    <w:name w:val="Subtitle"/>
    <w:basedOn w:val="Normal"/>
    <w:next w:val="Normal"/>
    <w:pPr>
      <w:keepNext/>
      <w:keepLines/>
    </w:pPr>
    <w:rPr>
      <w:b/>
      <w:i/>
      <w:color w:val="666666"/>
      <w:sz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rkris@pharmacy.isu.edu" TargetMode="External"/><Relationship Id="rId13" Type="http://schemas.openxmlformats.org/officeDocument/2006/relationships/hyperlink" Target="mailto:pearandr@pharmacy.isu.edu" TargetMode="External"/><Relationship Id="rId18" Type="http://schemas.openxmlformats.org/officeDocument/2006/relationships/hyperlink" Target="mailto:bellbria@pharmacy.i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zohnsamu@pharmacy.isu.edu" TargetMode="External"/><Relationship Id="rId12" Type="http://schemas.openxmlformats.org/officeDocument/2006/relationships/hyperlink" Target="mailto:andeskly@pharmacy.isu.edu" TargetMode="External"/><Relationship Id="rId17" Type="http://schemas.openxmlformats.org/officeDocument/2006/relationships/hyperlink" Target="mailto:andematt@pharmacy.i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hittayl@pharmacy.isu.ed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oubran@pharmacy.isu.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arirach@pharmacy.isu.edu" TargetMode="External"/><Relationship Id="rId23" Type="http://schemas.openxmlformats.org/officeDocument/2006/relationships/header" Target="header2.xml"/><Relationship Id="rId10" Type="http://schemas.openxmlformats.org/officeDocument/2006/relationships/hyperlink" Target="mailto:wilkmich@pharmacy.isu.edu" TargetMode="External"/><Relationship Id="rId19" Type="http://schemas.openxmlformats.org/officeDocument/2006/relationships/hyperlink" Target="mailto:tangvick@pharmacy.isu.edu" TargetMode="External"/><Relationship Id="rId4" Type="http://schemas.openxmlformats.org/officeDocument/2006/relationships/webSettings" Target="webSettings.xml"/><Relationship Id="rId9" Type="http://schemas.openxmlformats.org/officeDocument/2006/relationships/hyperlink" Target="mailto:larkris@pharmacy.isu.edu" TargetMode="External"/><Relationship Id="rId14" Type="http://schemas.openxmlformats.org/officeDocument/2006/relationships/hyperlink" Target="mailto:spannath@pharmacy.isu.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Zohner</dc:creator>
  <cp:lastModifiedBy>Moriarty, Gail R</cp:lastModifiedBy>
  <cp:revision>2</cp:revision>
  <dcterms:created xsi:type="dcterms:W3CDTF">2015-06-15T15:59:00Z</dcterms:created>
  <dcterms:modified xsi:type="dcterms:W3CDTF">2015-06-15T15:59:00Z</dcterms:modified>
</cp:coreProperties>
</file>