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F12" w:rsidRDefault="00DC2F12" w:rsidP="00DC2F12">
      <w:pPr>
        <w:rPr>
          <w:rFonts w:asciiTheme="minorHAnsi" w:hAnsiTheme="minorHAnsi" w:cstheme="minorBidi"/>
          <w:color w:val="1F497D"/>
          <w:sz w:val="22"/>
          <w:szCs w:val="22"/>
        </w:rPr>
      </w:pPr>
      <w:bookmarkStart w:id="0" w:name="_GoBack"/>
      <w:bookmarkEnd w:id="0"/>
    </w:p>
    <w:p w:rsidR="00DC2F12" w:rsidRDefault="00DC2F12" w:rsidP="00DC2F12">
      <w:pPr>
        <w:rPr>
          <w:rFonts w:asciiTheme="minorHAnsi" w:hAnsiTheme="minorHAnsi" w:cstheme="minorBidi"/>
          <w:color w:val="1F497D"/>
          <w:sz w:val="22"/>
          <w:szCs w:val="22"/>
        </w:rPr>
      </w:pPr>
    </w:p>
    <w:p w:rsidR="00DC2F12" w:rsidRDefault="00DC2F12" w:rsidP="00DC2F12"/>
    <w:p w:rsidR="00DC2F12" w:rsidRDefault="00DC2F12" w:rsidP="00DC2F12">
      <w:pPr>
        <w:pStyle w:val="Heading3"/>
        <w:jc w:val="center"/>
        <w:rPr>
          <w:rFonts w:eastAsiaTheme="minorHAnsi"/>
        </w:rPr>
      </w:pPr>
      <w:r>
        <w:rPr>
          <w:rFonts w:eastAsiaTheme="minorHAnsi"/>
        </w:rPr>
        <w:t>Annual Chapter Report Outline</w:t>
      </w:r>
    </w:p>
    <w:p w:rsidR="00DC2F12" w:rsidRDefault="00DC2F12" w:rsidP="00DC2F12">
      <w:pPr>
        <w:pStyle w:val="NormalWeb"/>
      </w:pPr>
      <w:r>
        <w:t>Please complete your Annual Chapter Report and submit to the National Office by May 15.</w:t>
      </w:r>
    </w:p>
    <w:p w:rsidR="00DC2F12" w:rsidRDefault="00DC2F12" w:rsidP="00DC2F12">
      <w:pPr>
        <w:pStyle w:val="col-sm-3"/>
      </w:pPr>
      <w:r>
        <w:rPr>
          <w:rStyle w:val="Strong"/>
        </w:rPr>
        <w:t>Date of report submission:</w:t>
      </w:r>
      <w:r>
        <w:t xml:space="preserve"> 2016-05-12 </w:t>
      </w:r>
    </w:p>
    <w:p w:rsidR="00DC2F12" w:rsidRDefault="00DC2F12" w:rsidP="00DC2F12">
      <w:pPr>
        <w:pStyle w:val="col-sm-5"/>
      </w:pPr>
      <w:r>
        <w:rPr>
          <w:rStyle w:val="Strong"/>
        </w:rPr>
        <w:t>Name of School/College:</w:t>
      </w:r>
      <w:r>
        <w:t xml:space="preserve"> Lake Erie College of Osteopathic Medicine (LECOM) – School of Pharmacy </w:t>
      </w:r>
    </w:p>
    <w:p w:rsidR="00DC2F12" w:rsidRDefault="00DC2F12" w:rsidP="00DC2F12">
      <w:pPr>
        <w:pStyle w:val="col-sm-4"/>
      </w:pPr>
      <w:r>
        <w:rPr>
          <w:rStyle w:val="Strong"/>
        </w:rPr>
        <w:t>Chapter Name &amp; region:</w:t>
      </w:r>
      <w:r>
        <w:t xml:space="preserve"> Gamma Tau Chapter – Erie, PA &amp; Bradenton, FL (Region II) </w:t>
      </w:r>
    </w:p>
    <w:p w:rsidR="00DC2F12" w:rsidRDefault="00DC2F12" w:rsidP="00DC2F12">
      <w:pPr>
        <w:pStyle w:val="col-sm-8"/>
      </w:pPr>
      <w:r>
        <w:rPr>
          <w:rStyle w:val="Strong"/>
        </w:rPr>
        <w:t>Delegate who attended the Rho Chi Annual Meeting:</w:t>
      </w:r>
      <w:r>
        <w:t xml:space="preserve"> Abbey Gallagher &amp; Dr. Janene Madras </w:t>
      </w:r>
    </w:p>
    <w:p w:rsidR="00DC2F12" w:rsidRDefault="00DC2F12" w:rsidP="00DC2F12">
      <w:pPr>
        <w:pStyle w:val="col-sm-4"/>
      </w:pPr>
      <w:r>
        <w:rPr>
          <w:rStyle w:val="Strong"/>
        </w:rPr>
        <w:t>Date Delegate’s name submitted:</w:t>
      </w:r>
      <w:r>
        <w:t xml:space="preserve"> 2016-01-05 </w:t>
      </w:r>
    </w:p>
    <w:p w:rsidR="00DC2F12" w:rsidRDefault="00DC2F12" w:rsidP="00DC2F12">
      <w:pPr>
        <w:pStyle w:val="NormalWeb"/>
      </w:pPr>
      <w:r>
        <w:t>Past year's officers and e-mail addresses</w:t>
      </w:r>
    </w:p>
    <w:p w:rsidR="00DC2F12" w:rsidRDefault="00DC2F12" w:rsidP="00DC2F12">
      <w:pPr>
        <w:pStyle w:val="NormalWeb"/>
      </w:pPr>
      <w:r>
        <w:t>President</w:t>
      </w:r>
    </w:p>
    <w:p w:rsidR="00DC2F12" w:rsidRDefault="00DC2F12" w:rsidP="00DC2F12">
      <w:pPr>
        <w:pStyle w:val="col-sm-4"/>
      </w:pPr>
      <w:r>
        <w:t>First Name</w:t>
      </w:r>
      <w:r>
        <w:br/>
        <w:t xml:space="preserve">Corinne </w:t>
      </w:r>
    </w:p>
    <w:p w:rsidR="00DC2F12" w:rsidRDefault="00DC2F12" w:rsidP="00DC2F12">
      <w:pPr>
        <w:pStyle w:val="col-sm-4"/>
      </w:pPr>
      <w:r>
        <w:t>Last Name</w:t>
      </w:r>
      <w:r>
        <w:br/>
        <w:t xml:space="preserve">Mueller </w:t>
      </w:r>
    </w:p>
    <w:p w:rsidR="00DC2F12" w:rsidRDefault="00DC2F12" w:rsidP="00DC2F12">
      <w:pPr>
        <w:pStyle w:val="col-sm-4"/>
      </w:pPr>
      <w:r>
        <w:t>Email</w:t>
      </w:r>
      <w:r>
        <w:br/>
      </w:r>
      <w:hyperlink r:id="rId4" w:history="1">
        <w:r>
          <w:rPr>
            <w:rStyle w:val="Hyperlink"/>
          </w:rPr>
          <w:t>corinne.sundstrom@rx.lecom.edu</w:t>
        </w:r>
      </w:hyperlink>
      <w:r>
        <w:t xml:space="preserve"> </w:t>
      </w:r>
    </w:p>
    <w:p w:rsidR="00DC2F12" w:rsidRDefault="00DC2F12" w:rsidP="00DC2F12">
      <w:pPr>
        <w:pStyle w:val="NormalWeb"/>
      </w:pPr>
      <w:r>
        <w:t>Vice President</w:t>
      </w:r>
    </w:p>
    <w:p w:rsidR="00DC2F12" w:rsidRDefault="00DC2F12" w:rsidP="00DC2F12">
      <w:pPr>
        <w:pStyle w:val="col-sm-4"/>
      </w:pPr>
      <w:r>
        <w:t>First Name</w:t>
      </w:r>
      <w:r>
        <w:br/>
        <w:t xml:space="preserve">John </w:t>
      </w:r>
    </w:p>
    <w:p w:rsidR="00DC2F12" w:rsidRDefault="00DC2F12" w:rsidP="00DC2F12">
      <w:pPr>
        <w:pStyle w:val="col-sm-4"/>
      </w:pPr>
      <w:r>
        <w:t>Last Name</w:t>
      </w:r>
      <w:r>
        <w:br/>
      </w:r>
      <w:proofErr w:type="spellStart"/>
      <w:r>
        <w:t>Petrak</w:t>
      </w:r>
      <w:proofErr w:type="spellEnd"/>
    </w:p>
    <w:p w:rsidR="00DC2F12" w:rsidRDefault="00DC2F12" w:rsidP="00DC2F12">
      <w:pPr>
        <w:pStyle w:val="col-sm-4"/>
      </w:pPr>
      <w:r>
        <w:t>Email</w:t>
      </w:r>
      <w:r>
        <w:br/>
      </w:r>
      <w:hyperlink r:id="rId5" w:history="1">
        <w:r>
          <w:rPr>
            <w:rStyle w:val="Hyperlink"/>
          </w:rPr>
          <w:t>john.aleman@rx.lecom.edu</w:t>
        </w:r>
      </w:hyperlink>
      <w:r>
        <w:t xml:space="preserve"> </w:t>
      </w:r>
    </w:p>
    <w:p w:rsidR="00DC2F12" w:rsidRDefault="00DC2F12" w:rsidP="00DC2F12">
      <w:pPr>
        <w:pStyle w:val="NormalWeb"/>
      </w:pPr>
      <w:r>
        <w:t>Secretary</w:t>
      </w:r>
    </w:p>
    <w:p w:rsidR="00DC2F12" w:rsidRDefault="00DC2F12" w:rsidP="00DC2F12">
      <w:pPr>
        <w:pStyle w:val="col-sm-4"/>
      </w:pPr>
      <w:r>
        <w:lastRenderedPageBreak/>
        <w:t>First Name</w:t>
      </w:r>
      <w:r>
        <w:br/>
        <w:t xml:space="preserve">April </w:t>
      </w:r>
    </w:p>
    <w:p w:rsidR="00DC2F12" w:rsidRDefault="00DC2F12" w:rsidP="00DC2F12">
      <w:pPr>
        <w:pStyle w:val="col-sm-4"/>
      </w:pPr>
      <w:r>
        <w:t>Last Name</w:t>
      </w:r>
      <w:r>
        <w:br/>
      </w:r>
      <w:proofErr w:type="spellStart"/>
      <w:r>
        <w:t>Elling</w:t>
      </w:r>
      <w:proofErr w:type="spellEnd"/>
      <w:r>
        <w:t xml:space="preserve"> </w:t>
      </w:r>
    </w:p>
    <w:p w:rsidR="00DC2F12" w:rsidRDefault="00DC2F12" w:rsidP="00DC2F12">
      <w:pPr>
        <w:pStyle w:val="col-sm-4"/>
      </w:pPr>
      <w:r>
        <w:t>Email</w:t>
      </w:r>
      <w:r>
        <w:br/>
      </w:r>
      <w:hyperlink r:id="rId6" w:history="1">
        <w:r>
          <w:rPr>
            <w:rStyle w:val="Hyperlink"/>
          </w:rPr>
          <w:t>april.elling@rx.lecom.edu</w:t>
        </w:r>
      </w:hyperlink>
      <w:r>
        <w:t xml:space="preserve"> </w:t>
      </w:r>
    </w:p>
    <w:p w:rsidR="00DC2F12" w:rsidRDefault="00DC2F12" w:rsidP="00DC2F12">
      <w:pPr>
        <w:pStyle w:val="NormalWeb"/>
      </w:pPr>
      <w:r>
        <w:t>Treasurer</w:t>
      </w:r>
    </w:p>
    <w:p w:rsidR="00DC2F12" w:rsidRDefault="00DC2F12" w:rsidP="00DC2F12">
      <w:pPr>
        <w:pStyle w:val="col-sm-4"/>
      </w:pPr>
      <w:r>
        <w:t>First Name</w:t>
      </w:r>
      <w:r>
        <w:br/>
        <w:t xml:space="preserve">Anthony </w:t>
      </w:r>
    </w:p>
    <w:p w:rsidR="00DC2F12" w:rsidRDefault="00DC2F12" w:rsidP="00DC2F12">
      <w:pPr>
        <w:pStyle w:val="col-sm-4"/>
      </w:pPr>
      <w:r>
        <w:t>Last Name</w:t>
      </w:r>
      <w:r>
        <w:br/>
      </w:r>
      <w:proofErr w:type="spellStart"/>
      <w:r>
        <w:t>D’Urso</w:t>
      </w:r>
      <w:proofErr w:type="spellEnd"/>
      <w:r>
        <w:t xml:space="preserve"> </w:t>
      </w:r>
    </w:p>
    <w:p w:rsidR="00DC2F12" w:rsidRDefault="00DC2F12" w:rsidP="00DC2F12">
      <w:pPr>
        <w:pStyle w:val="col-sm-4"/>
      </w:pPr>
      <w:r>
        <w:t>Email</w:t>
      </w:r>
      <w:r>
        <w:br/>
      </w:r>
      <w:hyperlink r:id="rId7" w:history="1">
        <w:r>
          <w:rPr>
            <w:rStyle w:val="Hyperlink"/>
          </w:rPr>
          <w:t>anthony.durso@rx.lecom.edu</w:t>
        </w:r>
      </w:hyperlink>
      <w:r>
        <w:t xml:space="preserve"> </w:t>
      </w:r>
    </w:p>
    <w:p w:rsidR="00DC2F12" w:rsidRDefault="00DC2F12" w:rsidP="00DC2F12">
      <w:pPr>
        <w:pStyle w:val="NormalWeb"/>
      </w:pPr>
      <w:r>
        <w:t>Historian</w:t>
      </w:r>
    </w:p>
    <w:p w:rsidR="00DC2F12" w:rsidRDefault="00DC2F12" w:rsidP="00DC2F12">
      <w:pPr>
        <w:pStyle w:val="col-sm-4"/>
      </w:pPr>
      <w:r>
        <w:t>First Name</w:t>
      </w:r>
      <w:r>
        <w:br/>
      </w:r>
      <w:proofErr w:type="spellStart"/>
      <w:r>
        <w:t>Cristotle</w:t>
      </w:r>
      <w:proofErr w:type="spellEnd"/>
      <w:r>
        <w:t xml:space="preserve"> </w:t>
      </w:r>
    </w:p>
    <w:p w:rsidR="00DC2F12" w:rsidRDefault="00DC2F12" w:rsidP="00DC2F12">
      <w:pPr>
        <w:pStyle w:val="col-sm-4"/>
      </w:pPr>
      <w:r>
        <w:t>Last Name</w:t>
      </w:r>
      <w:r>
        <w:br/>
        <w:t xml:space="preserve">Eduardo </w:t>
      </w:r>
    </w:p>
    <w:p w:rsidR="00DC2F12" w:rsidRDefault="00DC2F12" w:rsidP="00DC2F12">
      <w:pPr>
        <w:pStyle w:val="col-sm-4"/>
      </w:pPr>
      <w:r>
        <w:t>Email</w:t>
      </w:r>
      <w:r>
        <w:br/>
      </w:r>
      <w:hyperlink r:id="rId8" w:history="1">
        <w:r>
          <w:rPr>
            <w:rStyle w:val="Hyperlink"/>
          </w:rPr>
          <w:t>cristotle.eduardo@rx.lecom.edu</w:t>
        </w:r>
      </w:hyperlink>
      <w:r>
        <w:t xml:space="preserve"> </w:t>
      </w:r>
    </w:p>
    <w:p w:rsidR="00DC2F12" w:rsidRDefault="00DC2F12" w:rsidP="00DC2F12">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DC2F12" w:rsidRDefault="00DC2F12" w:rsidP="00DC2F12">
      <w:pPr>
        <w:pStyle w:val="NormalWeb"/>
      </w:pPr>
      <w:r>
        <w:t>New officers and e-mail addresses</w:t>
      </w:r>
    </w:p>
    <w:p w:rsidR="00DC2F12" w:rsidRDefault="00DC2F12" w:rsidP="00DC2F12">
      <w:pPr>
        <w:pStyle w:val="NormalWeb"/>
      </w:pPr>
      <w:r>
        <w:t>President</w:t>
      </w:r>
    </w:p>
    <w:p w:rsidR="00DC2F12" w:rsidRDefault="00DC2F12" w:rsidP="00DC2F12">
      <w:pPr>
        <w:pStyle w:val="col-sm-4"/>
      </w:pPr>
      <w:r>
        <w:t>First Name</w:t>
      </w:r>
      <w:r>
        <w:br/>
        <w:t xml:space="preserve">Monique </w:t>
      </w:r>
    </w:p>
    <w:p w:rsidR="00DC2F12" w:rsidRDefault="00DC2F12" w:rsidP="00DC2F12">
      <w:pPr>
        <w:pStyle w:val="col-sm-4"/>
      </w:pPr>
      <w:r>
        <w:t>Last Name</w:t>
      </w:r>
      <w:r>
        <w:br/>
        <w:t xml:space="preserve">Hart </w:t>
      </w:r>
    </w:p>
    <w:p w:rsidR="00DC2F12" w:rsidRDefault="00DC2F12" w:rsidP="00DC2F12">
      <w:pPr>
        <w:pStyle w:val="col-sm-4"/>
      </w:pPr>
      <w:r>
        <w:lastRenderedPageBreak/>
        <w:t>Email</w:t>
      </w:r>
      <w:r>
        <w:br/>
      </w:r>
      <w:hyperlink r:id="rId9" w:history="1">
        <w:r>
          <w:rPr>
            <w:rStyle w:val="Hyperlink"/>
          </w:rPr>
          <w:t>monique.hart@rx.lecom.edu</w:t>
        </w:r>
      </w:hyperlink>
      <w:r>
        <w:t xml:space="preserve"> </w:t>
      </w:r>
    </w:p>
    <w:p w:rsidR="00DC2F12" w:rsidRDefault="00DC2F12" w:rsidP="00DC2F12">
      <w:pPr>
        <w:pStyle w:val="NormalWeb"/>
      </w:pPr>
      <w:r>
        <w:t>Vice President</w:t>
      </w:r>
    </w:p>
    <w:p w:rsidR="00DC2F12" w:rsidRDefault="00DC2F12" w:rsidP="00DC2F12">
      <w:pPr>
        <w:pStyle w:val="col-sm-4"/>
      </w:pPr>
      <w:r>
        <w:t>First Name</w:t>
      </w:r>
      <w:r>
        <w:br/>
        <w:t xml:space="preserve">Emily </w:t>
      </w:r>
    </w:p>
    <w:p w:rsidR="00DC2F12" w:rsidRDefault="00DC2F12" w:rsidP="00DC2F12">
      <w:pPr>
        <w:pStyle w:val="col-sm-4"/>
      </w:pPr>
      <w:r>
        <w:t>Last Name</w:t>
      </w:r>
      <w:r>
        <w:br/>
      </w:r>
      <w:proofErr w:type="spellStart"/>
      <w:r>
        <w:t>Petrak</w:t>
      </w:r>
      <w:proofErr w:type="spellEnd"/>
    </w:p>
    <w:p w:rsidR="00DC2F12" w:rsidRDefault="00DC2F12" w:rsidP="00DC2F12">
      <w:pPr>
        <w:pStyle w:val="col-sm-4"/>
      </w:pPr>
      <w:r>
        <w:t>Email</w:t>
      </w:r>
      <w:r>
        <w:br/>
      </w:r>
      <w:hyperlink r:id="rId10" w:history="1">
        <w:r>
          <w:rPr>
            <w:rStyle w:val="Hyperlink"/>
          </w:rPr>
          <w:t>emily.petrak@rx.lecom.edu</w:t>
        </w:r>
      </w:hyperlink>
      <w:r>
        <w:t xml:space="preserve"> </w:t>
      </w:r>
    </w:p>
    <w:p w:rsidR="00DC2F12" w:rsidRDefault="00DC2F12" w:rsidP="00DC2F12">
      <w:pPr>
        <w:pStyle w:val="NormalWeb"/>
      </w:pPr>
      <w:r>
        <w:t>Secretary</w:t>
      </w:r>
    </w:p>
    <w:p w:rsidR="00DC2F12" w:rsidRDefault="00DC2F12" w:rsidP="00DC2F12">
      <w:pPr>
        <w:pStyle w:val="col-sm-4"/>
      </w:pPr>
      <w:r>
        <w:t>First Name</w:t>
      </w:r>
      <w:r>
        <w:br/>
        <w:t xml:space="preserve">Kayla </w:t>
      </w:r>
    </w:p>
    <w:p w:rsidR="00DC2F12" w:rsidRDefault="00DC2F12" w:rsidP="00DC2F12">
      <w:pPr>
        <w:pStyle w:val="col-sm-4"/>
      </w:pPr>
      <w:r>
        <w:t>Last Name</w:t>
      </w:r>
      <w:r>
        <w:br/>
      </w:r>
      <w:proofErr w:type="spellStart"/>
      <w:r>
        <w:t>Mumaw</w:t>
      </w:r>
      <w:proofErr w:type="spellEnd"/>
      <w:r>
        <w:t xml:space="preserve"> </w:t>
      </w:r>
    </w:p>
    <w:p w:rsidR="00DC2F12" w:rsidRDefault="00DC2F12" w:rsidP="00DC2F12">
      <w:pPr>
        <w:pStyle w:val="col-sm-4"/>
      </w:pPr>
      <w:r>
        <w:t>Email</w:t>
      </w:r>
      <w:r>
        <w:br/>
      </w:r>
      <w:hyperlink r:id="rId11" w:history="1">
        <w:r>
          <w:rPr>
            <w:rStyle w:val="Hyperlink"/>
          </w:rPr>
          <w:t>kayla.mumaw@rx.lecom.edu</w:t>
        </w:r>
      </w:hyperlink>
      <w:r>
        <w:t xml:space="preserve"> </w:t>
      </w:r>
    </w:p>
    <w:p w:rsidR="00DC2F12" w:rsidRDefault="00DC2F12" w:rsidP="00DC2F12">
      <w:pPr>
        <w:pStyle w:val="NormalWeb"/>
      </w:pPr>
      <w:r>
        <w:t>Treasurer</w:t>
      </w:r>
    </w:p>
    <w:p w:rsidR="00DC2F12" w:rsidRDefault="00DC2F12" w:rsidP="00DC2F12">
      <w:pPr>
        <w:pStyle w:val="col-sm-4"/>
      </w:pPr>
      <w:r>
        <w:t>First Name</w:t>
      </w:r>
      <w:r>
        <w:br/>
        <w:t xml:space="preserve">Holly </w:t>
      </w:r>
    </w:p>
    <w:p w:rsidR="00DC2F12" w:rsidRDefault="00DC2F12" w:rsidP="00DC2F12">
      <w:pPr>
        <w:pStyle w:val="col-sm-4"/>
      </w:pPr>
      <w:r>
        <w:t>Last Name</w:t>
      </w:r>
      <w:r>
        <w:br/>
        <w:t xml:space="preserve">Caldwell </w:t>
      </w:r>
    </w:p>
    <w:p w:rsidR="00DC2F12" w:rsidRDefault="00DC2F12" w:rsidP="00DC2F12">
      <w:pPr>
        <w:pStyle w:val="col-sm-4"/>
      </w:pPr>
      <w:r>
        <w:t>Email</w:t>
      </w:r>
      <w:r>
        <w:br/>
      </w:r>
      <w:hyperlink r:id="rId12" w:history="1">
        <w:r>
          <w:rPr>
            <w:rStyle w:val="Hyperlink"/>
          </w:rPr>
          <w:t>holly.caldwell@rx.lecom.edu</w:t>
        </w:r>
      </w:hyperlink>
      <w:r>
        <w:t xml:space="preserve"> </w:t>
      </w:r>
    </w:p>
    <w:p w:rsidR="00DC2F12" w:rsidRDefault="00DC2F12" w:rsidP="00DC2F12">
      <w:pPr>
        <w:pStyle w:val="NormalWeb"/>
      </w:pPr>
      <w:r>
        <w:t>Historian</w:t>
      </w:r>
    </w:p>
    <w:p w:rsidR="00DC2F12" w:rsidRDefault="00DC2F12" w:rsidP="00DC2F12">
      <w:pPr>
        <w:pStyle w:val="col-sm-4"/>
      </w:pPr>
      <w:r>
        <w:t>First Name</w:t>
      </w:r>
      <w:r>
        <w:br/>
        <w:t xml:space="preserve">Sara </w:t>
      </w:r>
    </w:p>
    <w:p w:rsidR="00DC2F12" w:rsidRDefault="00DC2F12" w:rsidP="00DC2F12">
      <w:pPr>
        <w:pStyle w:val="col-sm-4"/>
      </w:pPr>
      <w:r>
        <w:t>Last Name</w:t>
      </w:r>
      <w:r>
        <w:br/>
      </w:r>
      <w:proofErr w:type="spellStart"/>
      <w:r>
        <w:t>Harstad</w:t>
      </w:r>
      <w:proofErr w:type="spellEnd"/>
      <w:r>
        <w:t xml:space="preserve"> </w:t>
      </w:r>
    </w:p>
    <w:p w:rsidR="00DC2F12" w:rsidRDefault="00DC2F12" w:rsidP="00DC2F12">
      <w:pPr>
        <w:pStyle w:val="col-sm-4"/>
      </w:pPr>
      <w:r>
        <w:t>Email</w:t>
      </w:r>
      <w:r>
        <w:br/>
      </w:r>
      <w:hyperlink r:id="rId13" w:history="1">
        <w:r>
          <w:rPr>
            <w:rStyle w:val="Hyperlink"/>
          </w:rPr>
          <w:t>sara.harstad@rx.lecom.edu</w:t>
        </w:r>
      </w:hyperlink>
      <w:r>
        <w:t xml:space="preserve"> </w:t>
      </w:r>
    </w:p>
    <w:p w:rsidR="00DC2F12" w:rsidRDefault="00DC2F12" w:rsidP="00DC2F12">
      <w:pPr>
        <w:pStyle w:val="NormalWeb"/>
      </w:pPr>
      <w:r>
        <w:lastRenderedPageBreak/>
        <w:t>Chapter advisor’s name and e-mail address</w:t>
      </w:r>
    </w:p>
    <w:p w:rsidR="00DC2F12" w:rsidRDefault="00DC2F12" w:rsidP="00DC2F12">
      <w:pPr>
        <w:pStyle w:val="col-sm-4"/>
      </w:pPr>
      <w:r>
        <w:t>First Name</w:t>
      </w:r>
      <w:r>
        <w:br/>
        <w:t xml:space="preserve">Janene </w:t>
      </w:r>
    </w:p>
    <w:p w:rsidR="00DC2F12" w:rsidRDefault="00DC2F12" w:rsidP="00DC2F12">
      <w:pPr>
        <w:pStyle w:val="col-sm-4"/>
      </w:pPr>
      <w:r>
        <w:t>Last Name</w:t>
      </w:r>
      <w:r>
        <w:br/>
        <w:t xml:space="preserve">Madras </w:t>
      </w:r>
    </w:p>
    <w:p w:rsidR="00DC2F12" w:rsidRDefault="00DC2F12" w:rsidP="00DC2F12">
      <w:pPr>
        <w:pStyle w:val="col-sm-4"/>
      </w:pPr>
      <w:r>
        <w:t>Email</w:t>
      </w:r>
      <w:r>
        <w:br/>
      </w:r>
      <w:hyperlink r:id="rId14" w:history="1">
        <w:r>
          <w:rPr>
            <w:rStyle w:val="Hyperlink"/>
          </w:rPr>
          <w:t>jmadras@lecom.edu</w:t>
        </w:r>
      </w:hyperlink>
      <w:r>
        <w:t xml:space="preserve"> </w:t>
      </w:r>
    </w:p>
    <w:p w:rsidR="00DC2F12" w:rsidRDefault="00DC2F12" w:rsidP="00DC2F12">
      <w:pPr>
        <w:pStyle w:val="NormalWeb"/>
      </w:pPr>
      <w:r>
        <w:rPr>
          <w:rStyle w:val="Strong"/>
        </w:rPr>
        <w:t>Chapter advisor’s name and e-mail address</w:t>
      </w:r>
    </w:p>
    <w:p w:rsidR="00DC2F12" w:rsidRDefault="00DC2F12" w:rsidP="00DC2F12">
      <w:r>
        <w:t>[</w:t>
      </w:r>
      <w:proofErr w:type="gramStart"/>
      <w:r>
        <w:t>chapter-advisors</w:t>
      </w:r>
      <w:proofErr w:type="gramEnd"/>
      <w:r>
        <w:t>]</w:t>
      </w:r>
    </w:p>
    <w:p w:rsidR="00DC2F12" w:rsidRDefault="00DC2F12" w:rsidP="00DC2F12">
      <w:pPr>
        <w:pStyle w:val="NormalWeb"/>
      </w:pPr>
      <w:r>
        <w:rPr>
          <w:rStyle w:val="Strong"/>
        </w:rPr>
        <w:t>Introduction</w:t>
      </w:r>
    </w:p>
    <w:p w:rsidR="00DC2F12" w:rsidRDefault="00DC2F12" w:rsidP="00DC2F12">
      <w:r>
        <w:t>Erie campus co-advisor:</w:t>
      </w:r>
      <w:r>
        <w:br/>
        <w:t>Dr. Kimberly Burns (</w:t>
      </w:r>
      <w:hyperlink r:id="rId15" w:history="1">
        <w:r>
          <w:rPr>
            <w:rStyle w:val="Hyperlink"/>
          </w:rPr>
          <w:t>kburns@lecom.edu</w:t>
        </w:r>
      </w:hyperlink>
      <w:r>
        <w:t>)</w:t>
      </w:r>
    </w:p>
    <w:p w:rsidR="00DC2F12" w:rsidRDefault="00DC2F12" w:rsidP="00DC2F12">
      <w:pPr>
        <w:pStyle w:val="NormalWeb"/>
      </w:pPr>
      <w:r>
        <w:t>Bradenton campus advisor</w:t>
      </w:r>
      <w:proofErr w:type="gramStart"/>
      <w:r>
        <w:t>:</w:t>
      </w:r>
      <w:proofErr w:type="gramEnd"/>
      <w:r>
        <w:br/>
        <w:t>Dr. Nina Pavuluri (</w:t>
      </w:r>
      <w:hyperlink r:id="rId16" w:history="1">
        <w:r>
          <w:rPr>
            <w:rStyle w:val="Hyperlink"/>
          </w:rPr>
          <w:t>npavuluri@lecom.edu</w:t>
        </w:r>
      </w:hyperlink>
      <w:r>
        <w:t>)</w:t>
      </w:r>
    </w:p>
    <w:p w:rsidR="00DC2F12" w:rsidRDefault="00DC2F12" w:rsidP="00DC2F12">
      <w:pPr>
        <w:pStyle w:val="NormalWeb"/>
      </w:pPr>
      <w:r>
        <w:t>LECOM School of Pharmacy student members</w:t>
      </w:r>
      <w:proofErr w:type="gramStart"/>
      <w:r>
        <w:t>:</w:t>
      </w:r>
      <w:proofErr w:type="gramEnd"/>
      <w:r>
        <w:br/>
        <w:t>Class of 2015: 6 members Erie campus</w:t>
      </w:r>
      <w:r>
        <w:br/>
        <w:t>Class of 2016: 21 members Erie campus</w:t>
      </w:r>
      <w:r>
        <w:br/>
        <w:t>Class of 2016: 24 members Bradenton campus</w:t>
      </w:r>
      <w:r>
        <w:br/>
        <w:t>Class of 2017: 21 members Bradenton campus</w:t>
      </w:r>
    </w:p>
    <w:p w:rsidR="00DC2F12" w:rsidRDefault="00DC2F12" w:rsidP="00DC2F12">
      <w:pPr>
        <w:pStyle w:val="NormalWeb"/>
      </w:pPr>
      <w:r>
        <w:t>Past year’s officers and e-mail addresses: Bradenton campus</w:t>
      </w:r>
      <w:r>
        <w:br/>
        <w:t xml:space="preserve">President: Elizabeth </w:t>
      </w:r>
      <w:proofErr w:type="spellStart"/>
      <w:r>
        <w:t>Faville</w:t>
      </w:r>
      <w:proofErr w:type="spellEnd"/>
      <w:r>
        <w:t xml:space="preserve"> (</w:t>
      </w:r>
      <w:hyperlink r:id="rId17" w:history="1">
        <w:r>
          <w:rPr>
            <w:rStyle w:val="Hyperlink"/>
          </w:rPr>
          <w:t>Elizabeth.Faville@rx.lecom.edu</w:t>
        </w:r>
      </w:hyperlink>
      <w:r>
        <w:t>)</w:t>
      </w:r>
      <w:r>
        <w:br/>
        <w:t xml:space="preserve">Vice President: </w:t>
      </w:r>
      <w:proofErr w:type="spellStart"/>
      <w:r>
        <w:t>Duc</w:t>
      </w:r>
      <w:proofErr w:type="spellEnd"/>
      <w:r>
        <w:t xml:space="preserve"> Truong (</w:t>
      </w:r>
      <w:hyperlink r:id="rId18" w:history="1">
        <w:r>
          <w:rPr>
            <w:rStyle w:val="Hyperlink"/>
          </w:rPr>
          <w:t>Duc.Truong@rx.lecom.edu</w:t>
        </w:r>
      </w:hyperlink>
      <w:r>
        <w:t>)</w:t>
      </w:r>
      <w:r>
        <w:br/>
        <w:t>Secretary: Amanda Peebles (</w:t>
      </w:r>
      <w:hyperlink r:id="rId19" w:history="1">
        <w:r>
          <w:rPr>
            <w:rStyle w:val="Hyperlink"/>
          </w:rPr>
          <w:t>Amanda.Peebles@rx.lecom.edu</w:t>
        </w:r>
      </w:hyperlink>
      <w:r>
        <w:t>)</w:t>
      </w:r>
      <w:r>
        <w:br/>
        <w:t xml:space="preserve">Treasurer/Historian: </w:t>
      </w:r>
      <w:proofErr w:type="spellStart"/>
      <w:r>
        <w:t>Purita</w:t>
      </w:r>
      <w:proofErr w:type="spellEnd"/>
      <w:r>
        <w:t xml:space="preserve"> Van Cleave (</w:t>
      </w:r>
      <w:hyperlink r:id="rId20" w:history="1">
        <w:r>
          <w:rPr>
            <w:rStyle w:val="Hyperlink"/>
          </w:rPr>
          <w:t>Purita.VanCleave@rx.lecom.edu</w:t>
        </w:r>
      </w:hyperlink>
      <w:r>
        <w:t>)</w:t>
      </w:r>
    </w:p>
    <w:p w:rsidR="00DC2F12" w:rsidRDefault="00DC2F12" w:rsidP="00DC2F12">
      <w:pPr>
        <w:pStyle w:val="NormalWeb"/>
      </w:pPr>
      <w:r>
        <w:t>Bradenton campus election to be held in last week of September of 2016</w:t>
      </w:r>
    </w:p>
    <w:p w:rsidR="00DC2F12" w:rsidRDefault="00DC2F12" w:rsidP="00DC2F12">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78"/>
        <w:gridCol w:w="1622"/>
        <w:gridCol w:w="3636"/>
        <w:gridCol w:w="3424"/>
      </w:tblGrid>
      <w:tr w:rsidR="00DC2F12" w:rsidTr="00DC2F12">
        <w:trPr>
          <w:tblCellSpacing w:w="15" w:type="dxa"/>
        </w:trPr>
        <w:tc>
          <w:tcPr>
            <w:tcW w:w="0" w:type="auto"/>
            <w:tcMar>
              <w:top w:w="15" w:type="dxa"/>
              <w:left w:w="15" w:type="dxa"/>
              <w:bottom w:w="15" w:type="dxa"/>
              <w:right w:w="15" w:type="dxa"/>
            </w:tcMar>
            <w:vAlign w:val="center"/>
            <w:hideMark/>
          </w:tcPr>
          <w:p w:rsidR="00DC2F12" w:rsidRDefault="00DC2F12">
            <w:r>
              <w:t>Date</w:t>
            </w:r>
          </w:p>
        </w:tc>
        <w:tc>
          <w:tcPr>
            <w:tcW w:w="0" w:type="auto"/>
            <w:tcMar>
              <w:top w:w="15" w:type="dxa"/>
              <w:left w:w="225" w:type="dxa"/>
              <w:bottom w:w="15" w:type="dxa"/>
              <w:right w:w="15" w:type="dxa"/>
            </w:tcMar>
            <w:vAlign w:val="center"/>
            <w:hideMark/>
          </w:tcPr>
          <w:p w:rsidR="00DC2F12" w:rsidRDefault="00DC2F12">
            <w:r>
              <w:t>Attendance</w:t>
            </w:r>
          </w:p>
        </w:tc>
        <w:tc>
          <w:tcPr>
            <w:tcW w:w="0" w:type="auto"/>
            <w:tcMar>
              <w:top w:w="15" w:type="dxa"/>
              <w:left w:w="225" w:type="dxa"/>
              <w:bottom w:w="15" w:type="dxa"/>
              <w:right w:w="15" w:type="dxa"/>
            </w:tcMar>
            <w:vAlign w:val="center"/>
            <w:hideMark/>
          </w:tcPr>
          <w:p w:rsidR="00DC2F12" w:rsidRDefault="00DC2F12">
            <w:r>
              <w:t>Agenda</w:t>
            </w:r>
          </w:p>
        </w:tc>
        <w:tc>
          <w:tcPr>
            <w:tcW w:w="0" w:type="auto"/>
            <w:tcMar>
              <w:top w:w="15" w:type="dxa"/>
              <w:left w:w="225" w:type="dxa"/>
              <w:bottom w:w="15" w:type="dxa"/>
              <w:right w:w="15" w:type="dxa"/>
            </w:tcMar>
            <w:vAlign w:val="center"/>
            <w:hideMark/>
          </w:tcPr>
          <w:p w:rsidR="00DC2F12" w:rsidRDefault="00DC2F12">
            <w:r>
              <w:t>Action Steps</w:t>
            </w:r>
          </w:p>
        </w:tc>
      </w:tr>
      <w:tr w:rsidR="00DC2F12" w:rsidTr="00DC2F12">
        <w:trPr>
          <w:tblCellSpacing w:w="15" w:type="dxa"/>
        </w:trPr>
        <w:tc>
          <w:tcPr>
            <w:tcW w:w="0" w:type="auto"/>
            <w:tcMar>
              <w:top w:w="15" w:type="dxa"/>
              <w:left w:w="15" w:type="dxa"/>
              <w:bottom w:w="15" w:type="dxa"/>
              <w:right w:w="15" w:type="dxa"/>
            </w:tcMar>
            <w:vAlign w:val="center"/>
            <w:hideMark/>
          </w:tcPr>
          <w:p w:rsidR="00DC2F12" w:rsidRDefault="00DC2F12">
            <w:r>
              <w:t>2014-10-03</w:t>
            </w:r>
          </w:p>
        </w:tc>
        <w:tc>
          <w:tcPr>
            <w:tcW w:w="0" w:type="auto"/>
            <w:tcMar>
              <w:top w:w="15" w:type="dxa"/>
              <w:left w:w="225" w:type="dxa"/>
              <w:bottom w:w="15" w:type="dxa"/>
              <w:right w:w="15" w:type="dxa"/>
            </w:tcMar>
            <w:vAlign w:val="center"/>
            <w:hideMark/>
          </w:tcPr>
          <w:p w:rsidR="00DC2F12" w:rsidRDefault="00DC2F12">
            <w:r>
              <w:t>21 members and advisors present Erie campus</w:t>
            </w:r>
          </w:p>
        </w:tc>
        <w:tc>
          <w:tcPr>
            <w:tcW w:w="0" w:type="auto"/>
            <w:tcMar>
              <w:top w:w="15" w:type="dxa"/>
              <w:left w:w="225" w:type="dxa"/>
              <w:bottom w:w="15" w:type="dxa"/>
              <w:right w:w="15" w:type="dxa"/>
            </w:tcMar>
            <w:vAlign w:val="center"/>
            <w:hideMark/>
          </w:tcPr>
          <w:p w:rsidR="00DC2F12" w:rsidRDefault="00DC2F12">
            <w:r>
              <w:t>Initial welcome meeting • Explained mission of Rho Chi and officer positions • Discussed formal induction to take place on 1/10/2015</w:t>
            </w:r>
          </w:p>
        </w:tc>
        <w:tc>
          <w:tcPr>
            <w:tcW w:w="0" w:type="auto"/>
            <w:tcMar>
              <w:top w:w="15" w:type="dxa"/>
              <w:left w:w="225" w:type="dxa"/>
              <w:bottom w:w="15" w:type="dxa"/>
              <w:right w:w="15" w:type="dxa"/>
            </w:tcMar>
            <w:vAlign w:val="center"/>
            <w:hideMark/>
          </w:tcPr>
          <w:p w:rsidR="00DC2F12" w:rsidRDefault="00DC2F12">
            <w:r>
              <w:t>Set next meeting to elect officers and form sub-committees</w:t>
            </w:r>
          </w:p>
        </w:tc>
      </w:tr>
      <w:tr w:rsidR="00DC2F12" w:rsidTr="00DC2F12">
        <w:trPr>
          <w:tblCellSpacing w:w="15" w:type="dxa"/>
        </w:trPr>
        <w:tc>
          <w:tcPr>
            <w:tcW w:w="0" w:type="auto"/>
            <w:tcMar>
              <w:top w:w="15" w:type="dxa"/>
              <w:left w:w="15" w:type="dxa"/>
              <w:bottom w:w="15" w:type="dxa"/>
              <w:right w:w="15" w:type="dxa"/>
            </w:tcMar>
            <w:vAlign w:val="center"/>
            <w:hideMark/>
          </w:tcPr>
          <w:p w:rsidR="00DC2F12" w:rsidRDefault="00DC2F12">
            <w:r>
              <w:lastRenderedPageBreak/>
              <w:t>2014-10-07</w:t>
            </w:r>
          </w:p>
        </w:tc>
        <w:tc>
          <w:tcPr>
            <w:tcW w:w="0" w:type="auto"/>
            <w:tcMar>
              <w:top w:w="15" w:type="dxa"/>
              <w:left w:w="225" w:type="dxa"/>
              <w:bottom w:w="15" w:type="dxa"/>
              <w:right w:w="15" w:type="dxa"/>
            </w:tcMar>
            <w:vAlign w:val="center"/>
            <w:hideMark/>
          </w:tcPr>
          <w:p w:rsidR="00DC2F12" w:rsidRDefault="00DC2F12">
            <w:r>
              <w:t>21 members and advisors Erie campus</w:t>
            </w:r>
          </w:p>
        </w:tc>
        <w:tc>
          <w:tcPr>
            <w:tcW w:w="0" w:type="auto"/>
            <w:tcMar>
              <w:top w:w="15" w:type="dxa"/>
              <w:left w:w="225" w:type="dxa"/>
              <w:bottom w:w="15" w:type="dxa"/>
              <w:right w:w="15" w:type="dxa"/>
            </w:tcMar>
            <w:vAlign w:val="center"/>
            <w:hideMark/>
          </w:tcPr>
          <w:p w:rsidR="00DC2F12" w:rsidRDefault="00DC2F12">
            <w:r>
              <w:t>Executive board elections • Discussed goals for upcoming year • Discussed service and fundraising activities • Formation of sub-committees • Discussed new tutoring service our members will provide to fellow pharmacy students</w:t>
            </w:r>
          </w:p>
        </w:tc>
        <w:tc>
          <w:tcPr>
            <w:tcW w:w="0" w:type="auto"/>
            <w:tcMar>
              <w:top w:w="15" w:type="dxa"/>
              <w:left w:w="225" w:type="dxa"/>
              <w:bottom w:w="15" w:type="dxa"/>
              <w:right w:w="15" w:type="dxa"/>
            </w:tcMar>
            <w:vAlign w:val="center"/>
            <w:hideMark/>
          </w:tcPr>
          <w:p w:rsidR="00DC2F12" w:rsidRDefault="00DC2F12">
            <w:r>
              <w:t xml:space="preserve">Contact </w:t>
            </w:r>
            <w:proofErr w:type="spellStart"/>
            <w:r>
              <w:t>SaveAround</w:t>
            </w:r>
            <w:proofErr w:type="spellEnd"/>
            <w:r>
              <w:t xml:space="preserve"> company to begin Go Erie coupon book fundraiser • Brainstorm for additional fundraisers • Sub-committee communication about activities • Have members sign up to lead fall tutoring sessions</w:t>
            </w:r>
          </w:p>
        </w:tc>
      </w:tr>
      <w:tr w:rsidR="00DC2F12" w:rsidTr="00DC2F12">
        <w:trPr>
          <w:tblCellSpacing w:w="15" w:type="dxa"/>
        </w:trPr>
        <w:tc>
          <w:tcPr>
            <w:tcW w:w="0" w:type="auto"/>
            <w:tcMar>
              <w:top w:w="15" w:type="dxa"/>
              <w:left w:w="15" w:type="dxa"/>
              <w:bottom w:w="15" w:type="dxa"/>
              <w:right w:w="15" w:type="dxa"/>
            </w:tcMar>
            <w:vAlign w:val="center"/>
            <w:hideMark/>
          </w:tcPr>
          <w:p w:rsidR="00DC2F12" w:rsidRDefault="00DC2F12">
            <w:r>
              <w:t>2014-11-11</w:t>
            </w:r>
          </w:p>
        </w:tc>
        <w:tc>
          <w:tcPr>
            <w:tcW w:w="0" w:type="auto"/>
            <w:tcMar>
              <w:top w:w="15" w:type="dxa"/>
              <w:left w:w="225" w:type="dxa"/>
              <w:bottom w:w="15" w:type="dxa"/>
              <w:right w:w="15" w:type="dxa"/>
            </w:tcMar>
            <w:vAlign w:val="center"/>
            <w:hideMark/>
          </w:tcPr>
          <w:p w:rsidR="00DC2F12" w:rsidRDefault="00DC2F12">
            <w:r>
              <w:t>21 members and advisors Erie campus</w:t>
            </w:r>
          </w:p>
        </w:tc>
        <w:tc>
          <w:tcPr>
            <w:tcW w:w="0" w:type="auto"/>
            <w:tcMar>
              <w:top w:w="15" w:type="dxa"/>
              <w:left w:w="225" w:type="dxa"/>
              <w:bottom w:w="15" w:type="dxa"/>
              <w:right w:w="15" w:type="dxa"/>
            </w:tcMar>
            <w:vAlign w:val="center"/>
            <w:hideMark/>
          </w:tcPr>
          <w:p w:rsidR="00DC2F12" w:rsidRDefault="00DC2F12">
            <w:r>
              <w:t>Discussed upcoming service activity Cookies with Santa • Open discussion on success of tutoring service and ways to improve • Assigned two members to join the World’s AIDs Day event • Created a plan for our Script Your Future event in February • Gave update on budget and fundraising expectations</w:t>
            </w:r>
          </w:p>
        </w:tc>
        <w:tc>
          <w:tcPr>
            <w:tcW w:w="0" w:type="auto"/>
            <w:tcMar>
              <w:top w:w="15" w:type="dxa"/>
              <w:left w:w="225" w:type="dxa"/>
              <w:bottom w:w="15" w:type="dxa"/>
              <w:right w:w="15" w:type="dxa"/>
            </w:tcMar>
            <w:vAlign w:val="center"/>
            <w:hideMark/>
          </w:tcPr>
          <w:p w:rsidR="00DC2F12" w:rsidRDefault="00DC2F12">
            <w:r>
              <w:t xml:space="preserve">Encourage more open discussion during tutoring sessions • Contact </w:t>
            </w:r>
            <w:proofErr w:type="spellStart"/>
            <w:r>
              <w:t>LifeWorks</w:t>
            </w:r>
            <w:proofErr w:type="spellEnd"/>
            <w:r>
              <w:t xml:space="preserve"> and gather supplies from the Script Your Future organization for the event • Set up a fundraiser to sell books beneficial to students on their pharmacy rotations</w:t>
            </w:r>
          </w:p>
        </w:tc>
      </w:tr>
      <w:tr w:rsidR="00DC2F12" w:rsidTr="00DC2F12">
        <w:trPr>
          <w:tblCellSpacing w:w="15" w:type="dxa"/>
        </w:trPr>
        <w:tc>
          <w:tcPr>
            <w:tcW w:w="0" w:type="auto"/>
            <w:tcMar>
              <w:top w:w="15" w:type="dxa"/>
              <w:left w:w="15" w:type="dxa"/>
              <w:bottom w:w="15" w:type="dxa"/>
              <w:right w:w="15" w:type="dxa"/>
            </w:tcMar>
            <w:vAlign w:val="center"/>
            <w:hideMark/>
          </w:tcPr>
          <w:p w:rsidR="00DC2F12" w:rsidRDefault="00DC2F12">
            <w:r>
              <w:t>2015-02-11</w:t>
            </w:r>
          </w:p>
        </w:tc>
        <w:tc>
          <w:tcPr>
            <w:tcW w:w="0" w:type="auto"/>
            <w:tcMar>
              <w:top w:w="15" w:type="dxa"/>
              <w:left w:w="225" w:type="dxa"/>
              <w:bottom w:w="15" w:type="dxa"/>
              <w:right w:w="15" w:type="dxa"/>
            </w:tcMar>
            <w:vAlign w:val="center"/>
            <w:hideMark/>
          </w:tcPr>
          <w:p w:rsidR="00DC2F12" w:rsidRDefault="00DC2F12">
            <w:r>
              <w:t>Officers and Dr. Madras Erie campus</w:t>
            </w:r>
          </w:p>
        </w:tc>
        <w:tc>
          <w:tcPr>
            <w:tcW w:w="0" w:type="auto"/>
            <w:tcMar>
              <w:top w:w="15" w:type="dxa"/>
              <w:left w:w="225" w:type="dxa"/>
              <w:bottom w:w="15" w:type="dxa"/>
              <w:right w:w="15" w:type="dxa"/>
            </w:tcMar>
            <w:vAlign w:val="center"/>
            <w:hideMark/>
          </w:tcPr>
          <w:p w:rsidR="00DC2F12" w:rsidRDefault="00DC2F12">
            <w:r>
              <w:t>Discussed tutoring schedule for the upcoming spring semester • Assigned officers to each tutoring subject to facilitate sessions</w:t>
            </w:r>
          </w:p>
        </w:tc>
        <w:tc>
          <w:tcPr>
            <w:tcW w:w="0" w:type="auto"/>
            <w:tcMar>
              <w:top w:w="15" w:type="dxa"/>
              <w:left w:w="225" w:type="dxa"/>
              <w:bottom w:w="15" w:type="dxa"/>
              <w:right w:w="15" w:type="dxa"/>
            </w:tcMar>
            <w:vAlign w:val="center"/>
            <w:hideMark/>
          </w:tcPr>
          <w:p w:rsidR="00DC2F12" w:rsidRDefault="00DC2F12">
            <w:r>
              <w:t>Meet with your group of members to divide up tutoring days for each subject</w:t>
            </w:r>
          </w:p>
        </w:tc>
      </w:tr>
    </w:tbl>
    <w:p w:rsidR="00DC2F12" w:rsidRDefault="00DC2F12" w:rsidP="00DC2F12">
      <w:pPr>
        <w:pStyle w:val="NormalWeb"/>
      </w:pPr>
      <w:r>
        <w:rPr>
          <w:rStyle w:val="Strong"/>
        </w:rPr>
        <w:t>Strategic Planning:</w:t>
      </w:r>
      <w:r>
        <w:t xml:space="preserve"> </w:t>
      </w:r>
      <w:r>
        <w:rPr>
          <w:sz w:val="20"/>
          <w:szCs w:val="20"/>
        </w:rPr>
        <w:t>What goals were set that relate to the Rho Chi mission?</w:t>
      </w:r>
    </w:p>
    <w:p w:rsidR="00DC2F12" w:rsidRDefault="00DC2F12" w:rsidP="00DC2F12">
      <w:r>
        <w:t>The Rho Chi Society aims to pursue intellectual excellence and critical inquiry in order to advance the profession of pharmacy. Our goals for the upcoming year revolve around fostering fellowship, becoming a community of scholars, and promoting the advancement of pharmacy through encouragement of sound scholarship. Our chapter will continue to volunteer at a children’s community event, encouraging high standards of conduct and character. We will also continue to be advocates for medication adherence and patient health education through community outreach events. This year we will strive towards a new goal of establishing a tutoring service for our peers. Our guidance of this tutoring service will encourage intellectual achievement and help establish ourselves as lifelong intellectual leaders in pharmacy.</w:t>
      </w:r>
    </w:p>
    <w:p w:rsidR="00DC2F12" w:rsidRDefault="00DC2F12" w:rsidP="00DC2F12">
      <w:pPr>
        <w:pStyle w:val="NormalWeb"/>
      </w:pPr>
      <w:r>
        <w:t>Challenging students academically is also of high importance. As the Rho Chi mission statement is to promote intellectual leaders, that is what we pride ourselves in doing on campus. Not only evolving ourselves as members of Rho Chi, but testing the abilities of the students all around us. Collaboration is also key in promoting intellectual leaders. Learning is powerful when it comes from a teacher, and it means even more coming from someone’s peer. In our activities, we promote the union amongst classes and through layered learning show the foundation of a first year student and the progression of a third year. This not only strengthens the student’s intellect, it also shows the relevancy of each class and that there is a purpose to each lesson learned.</w:t>
      </w:r>
    </w:p>
    <w:p w:rsidR="00DC2F12" w:rsidRDefault="00DC2F12" w:rsidP="00DC2F12">
      <w:pPr>
        <w:pStyle w:val="NormalWeb"/>
      </w:pPr>
      <w:r>
        <w:rPr>
          <w:rStyle w:val="Strong"/>
        </w:rPr>
        <w:t xml:space="preserve">Activities </w:t>
      </w:r>
    </w:p>
    <w:p w:rsidR="00DC2F12" w:rsidRDefault="00DC2F12" w:rsidP="00DC2F12">
      <w:r>
        <w:lastRenderedPageBreak/>
        <w:t>Tutoring program (Erie campus</w:t>
      </w:r>
      <w:proofErr w:type="gramStart"/>
      <w:r>
        <w:t>)</w:t>
      </w:r>
      <w:proofErr w:type="gramEnd"/>
      <w:r>
        <w:br/>
        <w:t>– Dates range: 11/4/2014 through 4/13/2015</w:t>
      </w:r>
      <w:r>
        <w:br/>
        <w:t>– Our chapter created a tutoring program this year to assist our fellow pharmacy students in physiology, pharmacotherapy and medicinal chemistry. We focused our tutoring on explaining the difficult topics with our peers, creating practice questions and providing study tips. During the winter semester, we had 9 members that helped lead 15 study sessions and any of our pharmacy peers were welcome to attend the sessions. Twenty two of our members assisted in the spring semester and lead 22 open study sessions. As a group, we volunteered over 70 hours to help make this service a success. Our peers and faculty gave us considerable positive feedback so we created a plan in order to continue offering this tutoring service for years to come.</w:t>
      </w:r>
    </w:p>
    <w:p w:rsidR="00DC2F12" w:rsidRDefault="00DC2F12" w:rsidP="00DC2F12">
      <w:pPr>
        <w:pStyle w:val="NormalWeb"/>
      </w:pPr>
      <w:r>
        <w:t>World AIDs Day event (Erie campus</w:t>
      </w:r>
      <w:proofErr w:type="gramStart"/>
      <w:r>
        <w:t>)</w:t>
      </w:r>
      <w:proofErr w:type="gramEnd"/>
      <w:r>
        <w:br/>
        <w:t>– Date: 11/18/2014</w:t>
      </w:r>
      <w:r>
        <w:br/>
        <w:t>– Two of our members joined representatives from each of the other LECOM pharmacy and medical student organizations to create a memorial quilt. Each organization decorated a square of the quilt using the 2014 moto “Focus Partner Achieve: An AIDS Free Generation” as an inspiration for the design. The memorial quilt was displayed at the LECOM campus on World AIDs Day, 12/1/2014, to raise awareness and remember those affected by HIV/AIDS.</w:t>
      </w:r>
      <w:r>
        <w:br/>
        <w:t>Cookies with Santa (Erie campus)</w:t>
      </w:r>
      <w:r>
        <w:br/>
        <w:t>– Date: 12/6/2014</w:t>
      </w:r>
      <w:r>
        <w:br/>
        <w:t>– Every year Saint Vincent Hospital holds a holiday event for the community children and 19 of our members volunteered their time that morning to help the event run smoothly. The children were able to take a picture with Santa and pick up their framed photo to take home. Games, arts and crafts, face painting as well as cookies and beverages were provided throughout the event.</w:t>
      </w:r>
      <w:r>
        <w:br/>
        <w:t>Script Your Future event (Erie campus</w:t>
      </w:r>
      <w:proofErr w:type="gramStart"/>
      <w:r>
        <w:t>)</w:t>
      </w:r>
      <w:proofErr w:type="gramEnd"/>
      <w:r>
        <w:br/>
        <w:t>– Date: 02/17/2015</w:t>
      </w:r>
      <w:r>
        <w:br/>
        <w:t>– Script Your Future is a national competition that is held yearly. Pharmacy and medical students collaborate together to organize and participate in events that spread medication adherence awareness for three specific disease states, asthma, diabetes, and cardiovascular disease. We held our event at Life Works, a geriatric center in Erie focused on integrated medical and community preventative health care. We displayed posters and spoke with people about each of the three disease states and the medications used in their treatment. We also distributed pill boxes, medication pledge cards and information on medication adherence that was provided for us by the National Script Your Future organization. A pharmacist was available throughout the event to measure attendee’s blood pressure and provide medication counseling.</w:t>
      </w:r>
      <w:r>
        <w:br/>
      </w:r>
      <w:proofErr w:type="spellStart"/>
      <w:r>
        <w:t>SaveAround</w:t>
      </w:r>
      <w:proofErr w:type="spellEnd"/>
      <w:r>
        <w:t xml:space="preserve"> coupon book fundraiser (Erie campus</w:t>
      </w:r>
      <w:proofErr w:type="gramStart"/>
      <w:r>
        <w:t>)</w:t>
      </w:r>
      <w:proofErr w:type="gramEnd"/>
      <w:r>
        <w:br/>
        <w:t>– Dates range: 11/10/14 through 12/1/14</w:t>
      </w:r>
      <w:r>
        <w:br/>
        <w:t xml:space="preserve">– Members sold </w:t>
      </w:r>
      <w:proofErr w:type="spellStart"/>
      <w:r>
        <w:t>SaveAround</w:t>
      </w:r>
      <w:proofErr w:type="spellEnd"/>
      <w:r>
        <w:t xml:space="preserve"> Erie Coupon Books as a pre-sale. Our goal was for each member to sell at least 4 coupon books, for a total monetary goal of $704. For each book sold at $20, we received $8. Members sold coupon books individually and at a booth inside the school cafeteria before classes. We exceeded our goal, selling a total of 103 books for a total of $824.</w:t>
      </w:r>
      <w:r>
        <w:br/>
        <w:t>Book sale fundraiser (Erie campus)</w:t>
      </w:r>
      <w:r>
        <w:br/>
        <w:t>– Dates range: 3/16/15 through 3/20/15</w:t>
      </w:r>
      <w:r>
        <w:br/>
        <w:t xml:space="preserve">– Rho Chi and the Student Society of Health-System Pharmacy (SSHP) had a joint fundraiser to sell two books, Maximize Your Rotations and The Pharmacotherapy Bedside Guide. Each book was available at a reduced price through our organizations at $25 and $35 respectively. These </w:t>
      </w:r>
      <w:r>
        <w:lastRenderedPageBreak/>
        <w:t>specific books were selected as they were recommended for the pharmacy introductory and advanced pharmacy practice experiences. We split the fundraiser profits with SSHP for a total of $213 for our Rho Chi chapter.</w:t>
      </w:r>
      <w:r>
        <w:br/>
        <w:t>Bake sale fundraiser (Erie campus)</w:t>
      </w:r>
      <w:r>
        <w:br/>
        <w:t>– Dates range: 4/14/15 and 4/15/15</w:t>
      </w:r>
      <w:r>
        <w:br/>
        <w:t>– Members participated in a bake sale by baking treats to sell, signing up to sell, and buying baked goods. Items were sold to LECOM students, faculty, and staff for $0.50 or $1.00 each. In total we raised $88 for our chapter.</w:t>
      </w:r>
      <w:r>
        <w:br/>
        <w:t>Tutoring program (Bradenton Campus</w:t>
      </w:r>
      <w:proofErr w:type="gramStart"/>
      <w:r>
        <w:t>)</w:t>
      </w:r>
      <w:proofErr w:type="gramEnd"/>
      <w:r>
        <w:br/>
        <w:t>– Dates range: 12/1/2015 through 5/13/2016</w:t>
      </w:r>
      <w:r>
        <w:br/>
        <w:t xml:space="preserve">– Our Chapter alongside of the LECOM SOP – Bradenton, FL tutoring program, created the “Rho Chi Study Hall”. Rho Chi students signed up for various topics including medicinal chemistry, pharmaceutics, </w:t>
      </w:r>
      <w:proofErr w:type="spellStart"/>
      <w:r>
        <w:t>pharmacotherapeutics</w:t>
      </w:r>
      <w:proofErr w:type="spellEnd"/>
      <w:r>
        <w:t xml:space="preserve">, and pharmacokinetics to tutor pro-bono a different topic each week. Two of our members held continual sessions. Overall, our tutoring study hall reached 50 students in tutoring. Members of Rho Chi also spoke with the Distance Education and traditional second year students, providing tips on how to study for </w:t>
      </w:r>
      <w:proofErr w:type="spellStart"/>
      <w:r>
        <w:t>pharmacotherapeutics</w:t>
      </w:r>
      <w:proofErr w:type="spellEnd"/>
      <w:r>
        <w:t xml:space="preserve"> and medicinal chemistry/pharmacology. One of our members, our vice president </w:t>
      </w:r>
      <w:proofErr w:type="spellStart"/>
      <w:r>
        <w:t>Duc</w:t>
      </w:r>
      <w:proofErr w:type="spellEnd"/>
      <w:r>
        <w:t xml:space="preserve"> Truong, tutors pro-bono 4 hours a week with 48-50 students per week.</w:t>
      </w:r>
    </w:p>
    <w:p w:rsidR="00DC2F12" w:rsidRDefault="00DC2F12" w:rsidP="00DC2F12">
      <w:pPr>
        <w:pStyle w:val="NormalWeb"/>
      </w:pPr>
      <w:r>
        <w:t>UNC ACCP Pocket Guideline Reference (Bradenton campus</w:t>
      </w:r>
      <w:proofErr w:type="gramStart"/>
      <w:r>
        <w:t>)</w:t>
      </w:r>
      <w:proofErr w:type="gramEnd"/>
      <w:r>
        <w:br/>
        <w:t>– Date range: 2/1/2016 through 2/28/2016</w:t>
      </w:r>
      <w:r>
        <w:br/>
        <w:t xml:space="preserve">– Held a fundraiser with proceeds going to the </w:t>
      </w:r>
      <w:proofErr w:type="spellStart"/>
      <w:r>
        <w:t>Louann</w:t>
      </w:r>
      <w:proofErr w:type="spellEnd"/>
      <w:r>
        <w:t xml:space="preserve"> Benton Scholarship Fund. </w:t>
      </w:r>
      <w:proofErr w:type="spellStart"/>
      <w:r>
        <w:t>Louann</w:t>
      </w:r>
      <w:proofErr w:type="spellEnd"/>
      <w:r>
        <w:t xml:space="preserve"> Benton was a student at LECOM that we tragically lost last year. This scholarship goes to a student that is well rounded in academia, service, and integrity. The pocket guideline reference books are a great way to get prepared for rotations. For each book sold at $25, we received $10, which was put towards the scholarship fund and cost of shipping. After selling 110 books, our Chapter raised $821 for the scholarship fund.</w:t>
      </w:r>
    </w:p>
    <w:p w:rsidR="00DC2F12" w:rsidRDefault="00DC2F12" w:rsidP="00DC2F12">
      <w:pPr>
        <w:pStyle w:val="NormalWeb"/>
      </w:pPr>
      <w:r>
        <w:t>Script Your Future – Love Your Body (Bradenton Campus</w:t>
      </w:r>
      <w:proofErr w:type="gramStart"/>
      <w:r>
        <w:t>)</w:t>
      </w:r>
      <w:proofErr w:type="gramEnd"/>
      <w:r>
        <w:br/>
        <w:t>– Dates range: 02/12/2015 through 02/14/2016</w:t>
      </w:r>
      <w:r>
        <w:br/>
        <w:t>– This was a patient outreach event where members of Rho Chi partnered with members of CPFI to provide blood glucose and blood pressure monitoring at a local church. 25 patients were impacted by the activity over the two days.</w:t>
      </w:r>
    </w:p>
    <w:p w:rsidR="00DC2F12" w:rsidRDefault="00DC2F12" w:rsidP="00DC2F12">
      <w:pPr>
        <w:pStyle w:val="NormalWeb"/>
      </w:pPr>
      <w:r>
        <w:t>Rho Chi Patient Case Competition (Bradenton campus</w:t>
      </w:r>
      <w:proofErr w:type="gramStart"/>
      <w:r>
        <w:t>)</w:t>
      </w:r>
      <w:proofErr w:type="gramEnd"/>
      <w:r>
        <w:br/>
        <w:t>– Date: 3/8/2016</w:t>
      </w:r>
      <w:r>
        <w:br/>
        <w:t>– Challenging students clinically is something that our Chapter is passionate about. With the assistance of pharmacists outside of the LECOM SOP community, we composed a realistic patient case while utilizing a layering education model. Teams consisted of a P1, a P2, and a P3 to work on a care plan for their ‘patient’. Each team had one week to complete a SOAP note, and explain their therapies with recommendations to a panel of pharmacists. With a budget of $94, we provided food and drinks ($34) afterwards, as well as gift cards ($60) for the winners and judges of the competition.</w:t>
      </w:r>
    </w:p>
    <w:p w:rsidR="00DC2F12" w:rsidRDefault="00DC2F12" w:rsidP="00DC2F12">
      <w:pPr>
        <w:pStyle w:val="NormalWeb"/>
      </w:pPr>
      <w:r>
        <w:rPr>
          <w:rStyle w:val="Strong"/>
        </w:rPr>
        <w:t>Financial Budgeting</w:t>
      </w:r>
    </w:p>
    <w:p w:rsidR="00DC2F12" w:rsidRDefault="00DC2F12" w:rsidP="00DC2F12">
      <w:pPr>
        <w:pStyle w:val="NormalWeb"/>
      </w:pPr>
      <w:r>
        <w:lastRenderedPageBreak/>
        <w:t xml:space="preserve">Every year, the Treasurers of the Rho Chi Gamma Tau Chapter compile a budget for the year’s activities. Determined by the students and faculty advisors, the budget utilizes the previous year’s spending and fundraising as a template which is modified to include the new member’s plans and expenses. This year, Gamma Tau relied on four sources of funding. Initially, the chapter received $1,000.00 from the LECOM Student Government Association. The members also held three fundraisers, a coupon sale, a book sale, and a bake sale, which together raised $1,122.00. These funds were used towards the induction ceremony and induction costs. The accomplishments of the chapter could not be possible without guidance from the previous Rho Chi members and LECOM, to which we owe a debt of gratitude. </w:t>
      </w:r>
    </w:p>
    <w:p w:rsidR="00DC2F12" w:rsidRDefault="00DC2F12" w:rsidP="00DC2F12">
      <w:pPr>
        <w:jc w:val="center"/>
      </w:pPr>
      <w:r>
        <w:t>APPENDIX 2</w:t>
      </w:r>
    </w:p>
    <w:tbl>
      <w:tblPr>
        <w:tblStyle w:val="TableGrid"/>
        <w:tblpPr w:leftFromText="180" w:rightFromText="180" w:vertAnchor="page" w:horzAnchor="margin" w:tblpY="2446"/>
        <w:tblW w:w="9974" w:type="dxa"/>
        <w:tblInd w:w="0" w:type="dxa"/>
        <w:tblLook w:val="04A0" w:firstRow="1" w:lastRow="0" w:firstColumn="1" w:lastColumn="0" w:noHBand="0" w:noVBand="1"/>
      </w:tblPr>
      <w:tblGrid>
        <w:gridCol w:w="1478"/>
        <w:gridCol w:w="1924"/>
        <w:gridCol w:w="1224"/>
        <w:gridCol w:w="1650"/>
        <w:gridCol w:w="1650"/>
        <w:gridCol w:w="2048"/>
      </w:tblGrid>
      <w:tr w:rsidR="00DC2F12" w:rsidTr="00DC2F12">
        <w:tc>
          <w:tcPr>
            <w:tcW w:w="147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Date</w:t>
            </w:r>
          </w:p>
        </w:tc>
        <w:tc>
          <w:tcPr>
            <w:tcW w:w="19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Item</w:t>
            </w:r>
          </w:p>
        </w:tc>
        <w:tc>
          <w:tcPr>
            <w:tcW w:w="122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Debit</w:t>
            </w:r>
          </w:p>
        </w:tc>
        <w:tc>
          <w:tcPr>
            <w:tcW w:w="165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Credit</w:t>
            </w:r>
          </w:p>
        </w:tc>
        <w:tc>
          <w:tcPr>
            <w:tcW w:w="1650"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Total</w:t>
            </w:r>
          </w:p>
        </w:tc>
        <w:tc>
          <w:tcPr>
            <w:tcW w:w="2048"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C2F12" w:rsidRDefault="00DC2F12">
            <w:pPr>
              <w:jc w:val="center"/>
            </w:pPr>
            <w:r>
              <w:t>Comment</w:t>
            </w:r>
          </w:p>
        </w:tc>
      </w:tr>
      <w:tr w:rsidR="00DC2F12" w:rsidTr="00DC2F12">
        <w:trPr>
          <w:trHeight w:val="422"/>
        </w:trPr>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10/7/14</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Balance Forward</w:t>
            </w:r>
          </w:p>
        </w:tc>
        <w:tc>
          <w:tcPr>
            <w:tcW w:w="1224"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$1175</w:t>
            </w: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$1175</w:t>
            </w:r>
          </w:p>
        </w:tc>
        <w:tc>
          <w:tcPr>
            <w:tcW w:w="204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Balance from last year</w:t>
            </w: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12/1/14</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Coupon Book Fundraiser</w:t>
            </w:r>
          </w:p>
        </w:tc>
        <w:tc>
          <w:tcPr>
            <w:tcW w:w="1224"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$824</w:t>
            </w: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$1999</w:t>
            </w:r>
          </w:p>
        </w:tc>
        <w:tc>
          <w:tcPr>
            <w:tcW w:w="204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Sold 103 merchant coupon books</w:t>
            </w: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12/3/14</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Funds received from Student Government Association</w:t>
            </w:r>
          </w:p>
        </w:tc>
        <w:tc>
          <w:tcPr>
            <w:tcW w:w="1224"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$1000</w:t>
            </w: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$2999</w:t>
            </w:r>
          </w:p>
        </w:tc>
        <w:tc>
          <w:tcPr>
            <w:tcW w:w="2048" w:type="dxa"/>
            <w:tcBorders>
              <w:top w:val="single" w:sz="4" w:space="0" w:color="auto"/>
              <w:left w:val="single" w:sz="4" w:space="0" w:color="auto"/>
              <w:bottom w:val="single" w:sz="4" w:space="0" w:color="auto"/>
              <w:right w:val="single" w:sz="4" w:space="0" w:color="auto"/>
            </w:tcBorders>
          </w:tcPr>
          <w:p w:rsidR="00DC2F12" w:rsidRDefault="00DC2F12">
            <w:pPr>
              <w:jc w:val="center"/>
            </w:pP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1/10/15</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Gift for Induction Ceremony Speaker</w:t>
            </w:r>
          </w:p>
        </w:tc>
        <w:tc>
          <w:tcPr>
            <w:tcW w:w="12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$50</w:t>
            </w:r>
          </w:p>
        </w:tc>
        <w:tc>
          <w:tcPr>
            <w:tcW w:w="1650"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$2949</w:t>
            </w:r>
          </w:p>
        </w:tc>
        <w:tc>
          <w:tcPr>
            <w:tcW w:w="204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Gift card in appreciation</w:t>
            </w: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3/20/14</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Pharmacy Textbooks Fundraiser</w:t>
            </w:r>
          </w:p>
        </w:tc>
        <w:tc>
          <w:tcPr>
            <w:tcW w:w="1224"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$210</w:t>
            </w: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$3159</w:t>
            </w:r>
          </w:p>
        </w:tc>
        <w:tc>
          <w:tcPr>
            <w:tcW w:w="204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Sold books to P1 and P2 pharmacy students</w:t>
            </w: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4/15/15</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Bake Sale Fundraiser</w:t>
            </w:r>
          </w:p>
        </w:tc>
        <w:tc>
          <w:tcPr>
            <w:tcW w:w="1224"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$88</w:t>
            </w: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$3247</w:t>
            </w:r>
          </w:p>
        </w:tc>
        <w:tc>
          <w:tcPr>
            <w:tcW w:w="204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Members baked and sold for two days</w:t>
            </w: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10/9/15</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Rho Chi Chapter Dues</w:t>
            </w:r>
          </w:p>
        </w:tc>
        <w:tc>
          <w:tcPr>
            <w:tcW w:w="12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$1755</w:t>
            </w:r>
          </w:p>
        </w:tc>
        <w:tc>
          <w:tcPr>
            <w:tcW w:w="1650"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$1492</w:t>
            </w:r>
          </w:p>
        </w:tc>
        <w:tc>
          <w:tcPr>
            <w:tcW w:w="2048" w:type="dxa"/>
            <w:tcBorders>
              <w:top w:val="single" w:sz="4" w:space="0" w:color="auto"/>
              <w:left w:val="single" w:sz="4" w:space="0" w:color="auto"/>
              <w:bottom w:val="single" w:sz="4" w:space="0" w:color="auto"/>
              <w:right w:val="single" w:sz="4" w:space="0" w:color="auto"/>
            </w:tcBorders>
          </w:tcPr>
          <w:p w:rsidR="00DC2F12" w:rsidRDefault="00DC2F12">
            <w:pPr>
              <w:jc w:val="center"/>
            </w:pPr>
          </w:p>
        </w:tc>
      </w:tr>
      <w:tr w:rsidR="00DC2F12" w:rsidTr="00DC2F12">
        <w:tc>
          <w:tcPr>
            <w:tcW w:w="1478"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10/9/15</w:t>
            </w:r>
          </w:p>
        </w:tc>
        <w:tc>
          <w:tcPr>
            <w:tcW w:w="19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Rho Chi Graduation Cords</w:t>
            </w:r>
          </w:p>
        </w:tc>
        <w:tc>
          <w:tcPr>
            <w:tcW w:w="1224"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$337.50</w:t>
            </w:r>
          </w:p>
        </w:tc>
        <w:tc>
          <w:tcPr>
            <w:tcW w:w="1650" w:type="dxa"/>
            <w:tcBorders>
              <w:top w:val="single" w:sz="4" w:space="0" w:color="auto"/>
              <w:left w:val="single" w:sz="4" w:space="0" w:color="auto"/>
              <w:bottom w:val="single" w:sz="4" w:space="0" w:color="auto"/>
              <w:right w:val="single" w:sz="4" w:space="0" w:color="auto"/>
            </w:tcBorders>
          </w:tcPr>
          <w:p w:rsidR="00DC2F12" w:rsidRDefault="00DC2F12">
            <w:pPr>
              <w:jc w:val="center"/>
            </w:pPr>
          </w:p>
        </w:tc>
        <w:tc>
          <w:tcPr>
            <w:tcW w:w="1650" w:type="dxa"/>
            <w:tcBorders>
              <w:top w:val="single" w:sz="4" w:space="0" w:color="auto"/>
              <w:left w:val="single" w:sz="4" w:space="0" w:color="auto"/>
              <w:bottom w:val="single" w:sz="4" w:space="0" w:color="auto"/>
              <w:right w:val="single" w:sz="4" w:space="0" w:color="auto"/>
            </w:tcBorders>
            <w:hideMark/>
          </w:tcPr>
          <w:p w:rsidR="00DC2F12" w:rsidRDefault="00DC2F12">
            <w:pPr>
              <w:jc w:val="center"/>
            </w:pPr>
            <w:r>
              <w:t>$1154.50</w:t>
            </w:r>
          </w:p>
        </w:tc>
        <w:tc>
          <w:tcPr>
            <w:tcW w:w="2048" w:type="dxa"/>
            <w:tcBorders>
              <w:top w:val="single" w:sz="4" w:space="0" w:color="auto"/>
              <w:left w:val="single" w:sz="4" w:space="0" w:color="auto"/>
              <w:bottom w:val="single" w:sz="4" w:space="0" w:color="auto"/>
              <w:right w:val="single" w:sz="4" w:space="0" w:color="auto"/>
            </w:tcBorders>
          </w:tcPr>
          <w:p w:rsidR="00DC2F12" w:rsidRDefault="00DC2F12">
            <w:pPr>
              <w:jc w:val="center"/>
            </w:pPr>
          </w:p>
        </w:tc>
      </w:tr>
    </w:tbl>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Fonts w:asciiTheme="minorHAnsi" w:hAnsiTheme="minorHAnsi" w:cstheme="minorBidi"/>
          <w:color w:val="1F497D"/>
          <w:sz w:val="22"/>
          <w:szCs w:val="22"/>
        </w:rPr>
      </w:pPr>
    </w:p>
    <w:p w:rsidR="00DC2F12" w:rsidRDefault="00DC2F12" w:rsidP="00DC2F12">
      <w:pPr>
        <w:pStyle w:val="NormalWeb"/>
        <w:rPr>
          <w:rStyle w:val="Strong"/>
        </w:rPr>
      </w:pPr>
    </w:p>
    <w:p w:rsidR="00DC2F12" w:rsidRDefault="00DC2F12" w:rsidP="00DC2F12">
      <w:pPr>
        <w:pStyle w:val="NormalWeb"/>
      </w:pPr>
      <w:r>
        <w:rPr>
          <w:rStyle w:val="Strong"/>
        </w:rPr>
        <w:t>Installation Function</w:t>
      </w:r>
    </w:p>
    <w:p w:rsidR="00DC2F12" w:rsidRDefault="00DC2F12" w:rsidP="00DC2F12">
      <w:pPr>
        <w:pStyle w:val="NormalWeb"/>
      </w:pPr>
      <w:r>
        <w:t xml:space="preserve">The Erie campus held their induction ceremony on Saturday </w:t>
      </w:r>
      <w:proofErr w:type="spellStart"/>
      <w:r>
        <w:t>Janurary</w:t>
      </w:r>
      <w:proofErr w:type="spellEnd"/>
      <w:r>
        <w:t xml:space="preserve"> 9, 2016 at the Ambassador Banquet and Conference Center in Erie, Pennsylvania. Our guest speaker was Dr. Marcus </w:t>
      </w:r>
      <w:proofErr w:type="spellStart"/>
      <w:r>
        <w:t>Babiak</w:t>
      </w:r>
      <w:proofErr w:type="spellEnd"/>
      <w:r>
        <w:t xml:space="preserve">, the Director of Pharmacy at LECOM Health Millcreek Community Hospital and past inductee into our Gamma Tau Chapter. The Bradenton campus held their induction ceremony on Friday, October 9, 2015 at the Polo Grill Fete Ballroom in Lakewood Ranch, Florida. The guest speaker was Dr. Dante </w:t>
      </w:r>
      <w:proofErr w:type="spellStart"/>
      <w:r>
        <w:t>Kazeronunian</w:t>
      </w:r>
      <w:proofErr w:type="spellEnd"/>
      <w:r>
        <w:t xml:space="preserve">, </w:t>
      </w:r>
      <w:proofErr w:type="spellStart"/>
      <w:r>
        <w:t>PharmD</w:t>
      </w:r>
      <w:proofErr w:type="spellEnd"/>
      <w:r>
        <w:t xml:space="preserve">, CPH, NPH, Sterile Compounding Manager, All Children’s Hospital-John Hopkins Medicine, </w:t>
      </w:r>
      <w:proofErr w:type="gramStart"/>
      <w:r>
        <w:t>St</w:t>
      </w:r>
      <w:proofErr w:type="gramEnd"/>
      <w:r>
        <w:t>. Petersburg, Florida. Rho Chi faculty advisors, Associate Deans and the Dean of LECOM School of Pharmacy led the ceremony. The Rho Chi President, Secretary and Treasurer welcomed the newly inducted members into the fellowship and recognized the officers who will take over the responsibilities of the gamma tau chapter in the upcoming year.</w:t>
      </w:r>
    </w:p>
    <w:p w:rsidR="00DC2F12" w:rsidRDefault="00DC2F12" w:rsidP="00DC2F12">
      <w:pPr>
        <w:pStyle w:val="NormalWeb"/>
      </w:pPr>
      <w:r>
        <w:rPr>
          <w:rStyle w:val="Strong"/>
        </w:rPr>
        <w:t>Evaluation/Reflection</w:t>
      </w:r>
    </w:p>
    <w:p w:rsidR="00DC2F12" w:rsidRDefault="00DC2F12" w:rsidP="00DC2F12">
      <w:pPr>
        <w:pStyle w:val="NormalWeb"/>
      </w:pPr>
      <w:r>
        <w:t>The Gamma Tau chapter at LECOM School of Pharmacy was successful in achieving the goals of fostering fellowship, becoming a community of scholars, and promoting the advancement of pharmacy through encouragement of sound scholarship. The chapter continued to provide support to the community through service events and health education outreach. This year we successfully established a tutoring service for our fellow pharmacy peers which garnered much support throughout the year. We leave this chapter to our newly inducted members in hopes they embrace our goals and further the vision of the Rho Chi Society.</w:t>
      </w:r>
    </w:p>
    <w:p w:rsidR="00DC2F12" w:rsidRDefault="00DC2F12" w:rsidP="00DC2F12">
      <w:pPr>
        <w:pStyle w:val="NormalWeb"/>
      </w:pPr>
      <w:r>
        <w:rPr>
          <w:rStyle w:val="Strong"/>
        </w:rPr>
        <w:t>Other Information</w:t>
      </w:r>
    </w:p>
    <w:p w:rsidR="00931A17" w:rsidRPr="00DC2F12" w:rsidRDefault="00DC2F12" w:rsidP="00DC2F12">
      <w:pPr>
        <w:pStyle w:val="NormalWeb"/>
      </w:pPr>
      <w:r>
        <w:t>N/A</w:t>
      </w:r>
      <w:r>
        <w:br/>
      </w:r>
    </w:p>
    <w:sectPr w:rsidR="00931A17" w:rsidRPr="00DC2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F12"/>
    <w:rsid w:val="00931A17"/>
    <w:rsid w:val="00DC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1DF16-EC98-432C-B5FE-7D27DA2E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12"/>
    <w:pPr>
      <w:spacing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DC2F12"/>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DC2F1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C2F12"/>
    <w:rPr>
      <w:color w:val="0563C1" w:themeColor="hyperlink"/>
      <w:u w:val="single"/>
    </w:rPr>
  </w:style>
  <w:style w:type="paragraph" w:styleId="NormalWeb">
    <w:name w:val="Normal (Web)"/>
    <w:basedOn w:val="Normal"/>
    <w:uiPriority w:val="99"/>
    <w:unhideWhenUsed/>
    <w:rsid w:val="00DC2F12"/>
    <w:pPr>
      <w:spacing w:before="100" w:beforeAutospacing="1" w:after="100" w:afterAutospacing="1"/>
    </w:pPr>
  </w:style>
  <w:style w:type="paragraph" w:customStyle="1" w:styleId="col-sm-3">
    <w:name w:val="col-sm-3"/>
    <w:basedOn w:val="Normal"/>
    <w:uiPriority w:val="99"/>
    <w:semiHidden/>
    <w:rsid w:val="00DC2F12"/>
    <w:pPr>
      <w:spacing w:before="100" w:beforeAutospacing="1" w:after="100" w:afterAutospacing="1"/>
    </w:pPr>
  </w:style>
  <w:style w:type="paragraph" w:customStyle="1" w:styleId="col-sm-5">
    <w:name w:val="col-sm-5"/>
    <w:basedOn w:val="Normal"/>
    <w:uiPriority w:val="99"/>
    <w:semiHidden/>
    <w:rsid w:val="00DC2F12"/>
    <w:pPr>
      <w:spacing w:before="100" w:beforeAutospacing="1" w:after="100" w:afterAutospacing="1"/>
    </w:pPr>
  </w:style>
  <w:style w:type="paragraph" w:customStyle="1" w:styleId="col-sm-4">
    <w:name w:val="col-sm-4"/>
    <w:basedOn w:val="Normal"/>
    <w:uiPriority w:val="99"/>
    <w:semiHidden/>
    <w:rsid w:val="00DC2F12"/>
    <w:pPr>
      <w:spacing w:before="100" w:beforeAutospacing="1" w:after="100" w:afterAutospacing="1"/>
    </w:pPr>
  </w:style>
  <w:style w:type="paragraph" w:customStyle="1" w:styleId="col-sm-8">
    <w:name w:val="col-sm-8"/>
    <w:basedOn w:val="Normal"/>
    <w:uiPriority w:val="99"/>
    <w:semiHidden/>
    <w:rsid w:val="00DC2F12"/>
    <w:pPr>
      <w:spacing w:before="100" w:beforeAutospacing="1" w:after="100" w:afterAutospacing="1"/>
    </w:pPr>
  </w:style>
  <w:style w:type="table" w:styleId="TableGrid">
    <w:name w:val="Table Grid"/>
    <w:basedOn w:val="TableNormal"/>
    <w:uiPriority w:val="59"/>
    <w:rsid w:val="00DC2F12"/>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C2F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otle.eduardo@rx.lecom.edu" TargetMode="External"/><Relationship Id="rId13" Type="http://schemas.openxmlformats.org/officeDocument/2006/relationships/hyperlink" Target="mailto:sara.harstad@rx.lecom.edu" TargetMode="External"/><Relationship Id="rId18" Type="http://schemas.openxmlformats.org/officeDocument/2006/relationships/hyperlink" Target="mailto:Duc.Truong@rx.lecom.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anthony.durso@rx.lecom.edu" TargetMode="External"/><Relationship Id="rId12" Type="http://schemas.openxmlformats.org/officeDocument/2006/relationships/hyperlink" Target="mailto:holly.caldwell@rx.lecom.edu" TargetMode="External"/><Relationship Id="rId17" Type="http://schemas.openxmlformats.org/officeDocument/2006/relationships/hyperlink" Target="mailto:Elizabeth.Faville@rx.lecom.edu" TargetMode="External"/><Relationship Id="rId2" Type="http://schemas.openxmlformats.org/officeDocument/2006/relationships/settings" Target="settings.xml"/><Relationship Id="rId16" Type="http://schemas.openxmlformats.org/officeDocument/2006/relationships/hyperlink" Target="mailto:npavuluri@lecom.edu" TargetMode="External"/><Relationship Id="rId20" Type="http://schemas.openxmlformats.org/officeDocument/2006/relationships/hyperlink" Target="mailto:Purita.VanCleave@rx.lecom.edu" TargetMode="External"/><Relationship Id="rId1" Type="http://schemas.openxmlformats.org/officeDocument/2006/relationships/styles" Target="styles.xml"/><Relationship Id="rId6" Type="http://schemas.openxmlformats.org/officeDocument/2006/relationships/hyperlink" Target="mailto:april.elling@rx.lecom.edu" TargetMode="External"/><Relationship Id="rId11" Type="http://schemas.openxmlformats.org/officeDocument/2006/relationships/hyperlink" Target="mailto:kayla.mumaw@rx.lecom.edu" TargetMode="External"/><Relationship Id="rId5" Type="http://schemas.openxmlformats.org/officeDocument/2006/relationships/hyperlink" Target="mailto:john.aleman@rx.lecom.edu" TargetMode="External"/><Relationship Id="rId15" Type="http://schemas.openxmlformats.org/officeDocument/2006/relationships/hyperlink" Target="mailto:kburns@lecom.edu" TargetMode="External"/><Relationship Id="rId10" Type="http://schemas.openxmlformats.org/officeDocument/2006/relationships/hyperlink" Target="mailto:emily.petrak@rx.lecom.edu" TargetMode="External"/><Relationship Id="rId19" Type="http://schemas.openxmlformats.org/officeDocument/2006/relationships/hyperlink" Target="mailto:Amanda.Peebles@rx.lecom.edu" TargetMode="External"/><Relationship Id="rId4" Type="http://schemas.openxmlformats.org/officeDocument/2006/relationships/hyperlink" Target="mailto:corinne.sundstrom@rx.lecom.edu" TargetMode="External"/><Relationship Id="rId9" Type="http://schemas.openxmlformats.org/officeDocument/2006/relationships/hyperlink" Target="mailto:monique.hart@rx.lecom.edu" TargetMode="External"/><Relationship Id="rId14" Type="http://schemas.openxmlformats.org/officeDocument/2006/relationships/hyperlink" Target="mailto:jmadras@lecom.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1</cp:revision>
  <dcterms:created xsi:type="dcterms:W3CDTF">2016-06-16T13:54:00Z</dcterms:created>
  <dcterms:modified xsi:type="dcterms:W3CDTF">2016-06-16T13:55:00Z</dcterms:modified>
</cp:coreProperties>
</file>