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41EB" w:rsidRDefault="00DA48D2">
      <w:pPr>
        <w:pStyle w:val="Normal1"/>
      </w:pPr>
      <w:bookmarkStart w:id="0" w:name="_GoBack"/>
      <w:bookmarkEnd w:id="0"/>
      <w:r>
        <w:rPr>
          <w:rFonts w:ascii="Times New Roman" w:eastAsia="Times New Roman" w:hAnsi="Times New Roman" w:cs="Times New Roman"/>
          <w:sz w:val="24"/>
        </w:rPr>
        <w:t>Annual Chapter Report</w:t>
      </w:r>
    </w:p>
    <w:p w:rsidR="00EB41EB" w:rsidRDefault="00DA48D2">
      <w:pPr>
        <w:pStyle w:val="Normal1"/>
      </w:pPr>
      <w:r>
        <w:rPr>
          <w:rFonts w:ascii="Times New Roman" w:eastAsia="Times New Roman" w:hAnsi="Times New Roman" w:cs="Times New Roman"/>
          <w:sz w:val="24"/>
        </w:rPr>
        <w:t>Date of submission: May 5, 2015</w:t>
      </w:r>
    </w:p>
    <w:p w:rsidR="00EB41EB" w:rsidRDefault="00DA48D2">
      <w:pPr>
        <w:pStyle w:val="Normal1"/>
      </w:pPr>
      <w:r>
        <w:rPr>
          <w:rFonts w:ascii="Times New Roman" w:eastAsia="Times New Roman" w:hAnsi="Times New Roman" w:cs="Times New Roman"/>
          <w:sz w:val="24"/>
        </w:rPr>
        <w:t>Name of School/College: South University School of Pharmacy</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sz w:val="24"/>
        </w:rPr>
        <w:t>Chapter name and region: Gamma Upsilon – Region III Southeastern</w:t>
      </w:r>
    </w:p>
    <w:p w:rsidR="00EB41EB" w:rsidRDefault="00EB41EB">
      <w:pPr>
        <w:pStyle w:val="Normal1"/>
      </w:pPr>
    </w:p>
    <w:p w:rsidR="00EB41EB" w:rsidRDefault="00DA48D2">
      <w:pPr>
        <w:pStyle w:val="Normal1"/>
      </w:pPr>
      <w:r>
        <w:rPr>
          <w:rFonts w:ascii="Times New Roman" w:eastAsia="Times New Roman" w:hAnsi="Times New Roman" w:cs="Times New Roman"/>
          <w:sz w:val="24"/>
        </w:rPr>
        <w:t>Chapter advisor’s name and e-mail address:</w:t>
      </w:r>
    </w:p>
    <w:p w:rsidR="00EB41EB" w:rsidRDefault="00DA48D2">
      <w:pPr>
        <w:pStyle w:val="Normal1"/>
      </w:pPr>
      <w:r>
        <w:rPr>
          <w:rFonts w:ascii="Times New Roman" w:eastAsia="Times New Roman" w:hAnsi="Times New Roman" w:cs="Times New Roman"/>
          <w:sz w:val="24"/>
        </w:rPr>
        <w:t xml:space="preserve">Savannah Campus: Arthur Cox, </w:t>
      </w:r>
      <w:hyperlink r:id="rId5">
        <w:r>
          <w:rPr>
            <w:rFonts w:ascii="Times New Roman" w:eastAsia="Times New Roman" w:hAnsi="Times New Roman" w:cs="Times New Roman"/>
            <w:color w:val="1155CC"/>
            <w:sz w:val="24"/>
            <w:u w:val="single"/>
          </w:rPr>
          <w:t>acox@southuniversity.edu</w:t>
        </w:r>
      </w:hyperlink>
    </w:p>
    <w:p w:rsidR="00EB41EB" w:rsidRDefault="00DA48D2">
      <w:pPr>
        <w:pStyle w:val="Normal1"/>
      </w:pPr>
      <w:r>
        <w:rPr>
          <w:rFonts w:ascii="Times New Roman" w:eastAsia="Times New Roman" w:hAnsi="Times New Roman" w:cs="Times New Roman"/>
          <w:sz w:val="24"/>
        </w:rPr>
        <w:t xml:space="preserve">Columbia Campus: Sarah Braga, </w:t>
      </w:r>
      <w:hyperlink r:id="rId6">
        <w:r>
          <w:rPr>
            <w:rFonts w:ascii="Times New Roman" w:eastAsia="Times New Roman" w:hAnsi="Times New Roman" w:cs="Times New Roman"/>
            <w:color w:val="1155CC"/>
            <w:sz w:val="24"/>
            <w:u w:val="single"/>
          </w:rPr>
          <w:t>sbraga@southuniversity.edu</w:t>
        </w:r>
      </w:hyperlink>
      <w:r>
        <w:rPr>
          <w:rFonts w:ascii="Times New Roman" w:eastAsia="Times New Roman" w:hAnsi="Times New Roman" w:cs="Times New Roman"/>
          <w:sz w:val="24"/>
        </w:rPr>
        <w:t xml:space="preserve"> </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sz w:val="24"/>
        </w:rPr>
        <w:t xml:space="preserve">Delegate who attended the Rho Chi Annual Meeting: Roby Hersey: </w:t>
      </w:r>
    </w:p>
    <w:p w:rsidR="00EB41EB" w:rsidRDefault="00DA48D2">
      <w:pPr>
        <w:pStyle w:val="Normal1"/>
      </w:pPr>
      <w:r>
        <w:rPr>
          <w:rFonts w:ascii="Times New Roman" w:eastAsia="Times New Roman" w:hAnsi="Times New Roman" w:cs="Times New Roman"/>
          <w:sz w:val="24"/>
        </w:rPr>
        <w:t>Statement: “</w:t>
      </w:r>
      <w:r>
        <w:rPr>
          <w:rFonts w:ascii="Times New Roman" w:eastAsia="Times New Roman" w:hAnsi="Times New Roman" w:cs="Times New Roman"/>
          <w:sz w:val="24"/>
          <w:highlight w:val="white"/>
        </w:rPr>
        <w:t>Our 91</w:t>
      </w:r>
      <w:r>
        <w:rPr>
          <w:rFonts w:ascii="Times New Roman" w:eastAsia="Times New Roman" w:hAnsi="Times New Roman" w:cs="Times New Roman"/>
          <w:sz w:val="24"/>
          <w:highlight w:val="white"/>
          <w:vertAlign w:val="superscript"/>
        </w:rPr>
        <w:t>st</w:t>
      </w:r>
      <w:r>
        <w:rPr>
          <w:rFonts w:ascii="Times New Roman" w:eastAsia="Times New Roman" w:hAnsi="Times New Roman" w:cs="Times New Roman"/>
          <w:sz w:val="24"/>
          <w:highlight w:val="white"/>
        </w:rPr>
        <w:t xml:space="preserve"> Annual meeting was held in sunny San Diego, California alongside the </w:t>
      </w:r>
      <w:proofErr w:type="spellStart"/>
      <w:r>
        <w:rPr>
          <w:rFonts w:ascii="Times New Roman" w:eastAsia="Times New Roman" w:hAnsi="Times New Roman" w:cs="Times New Roman"/>
          <w:sz w:val="24"/>
          <w:highlight w:val="white"/>
        </w:rPr>
        <w:t>APhA</w:t>
      </w:r>
      <w:proofErr w:type="spellEnd"/>
      <w:r>
        <w:rPr>
          <w:rFonts w:ascii="Times New Roman" w:eastAsia="Times New Roman" w:hAnsi="Times New Roman" w:cs="Times New Roman"/>
          <w:sz w:val="24"/>
          <w:highlight w:val="white"/>
        </w:rPr>
        <w:t xml:space="preserve"> 2015 Annual Meeting and Exposition. As a delegate, I was able to meet and reunite with delegates and advisers of Rho Chi Chapters from pharmacy schools spanning every region of the United States. In addition to our regular business meeting and national reports, a formal election, an awards reception, and a keynote speaker, our Chapter took great pride in participating in the installment of a new Chapter into the Rho Chi Society.”</w:t>
      </w:r>
    </w:p>
    <w:p w:rsidR="00EB41EB" w:rsidRDefault="00EB41EB">
      <w:pPr>
        <w:pStyle w:val="Normal1"/>
      </w:pPr>
    </w:p>
    <w:p w:rsidR="00EB41EB" w:rsidRDefault="00DA48D2">
      <w:pPr>
        <w:pStyle w:val="Normal1"/>
      </w:pPr>
      <w:r>
        <w:rPr>
          <w:rFonts w:ascii="Times New Roman" w:eastAsia="Times New Roman" w:hAnsi="Times New Roman" w:cs="Times New Roman"/>
          <w:sz w:val="24"/>
        </w:rPr>
        <w:t xml:space="preserve">Date delegate’s name submitted to Rho Chi: February 19, 2015.  </w:t>
      </w:r>
    </w:p>
    <w:p w:rsidR="00EB41EB" w:rsidRDefault="00EB41EB">
      <w:pPr>
        <w:pStyle w:val="Normal1"/>
      </w:pPr>
    </w:p>
    <w:p w:rsidR="00EB41EB" w:rsidRDefault="00DA48D2">
      <w:pPr>
        <w:pStyle w:val="Normal1"/>
      </w:pPr>
      <w:r>
        <w:rPr>
          <w:rFonts w:ascii="Times New Roman" w:eastAsia="Times New Roman" w:hAnsi="Times New Roman" w:cs="Times New Roman"/>
          <w:sz w:val="24"/>
        </w:rPr>
        <w:t>Past year’s officers and e-mail addresses:</w:t>
      </w:r>
    </w:p>
    <w:p w:rsidR="00EB41EB" w:rsidRDefault="00DA48D2">
      <w:pPr>
        <w:pStyle w:val="Normal1"/>
      </w:pPr>
      <w:r>
        <w:rPr>
          <w:rFonts w:ascii="Times New Roman" w:eastAsia="Times New Roman" w:hAnsi="Times New Roman" w:cs="Times New Roman"/>
          <w:sz w:val="24"/>
        </w:rPr>
        <w:t>President: Michael Fano-Schultze, michael23945@stu.southunviersity.edu</w:t>
      </w:r>
    </w:p>
    <w:p w:rsidR="00EB41EB" w:rsidRDefault="00DA48D2">
      <w:pPr>
        <w:pStyle w:val="Normal1"/>
      </w:pPr>
      <w:r>
        <w:rPr>
          <w:rFonts w:ascii="Times New Roman" w:eastAsia="Times New Roman" w:hAnsi="Times New Roman" w:cs="Times New Roman"/>
          <w:sz w:val="24"/>
        </w:rPr>
        <w:t xml:space="preserve">Vice-President: Brittney </w:t>
      </w:r>
      <w:proofErr w:type="spellStart"/>
      <w:r>
        <w:rPr>
          <w:rFonts w:ascii="Times New Roman" w:eastAsia="Times New Roman" w:hAnsi="Times New Roman" w:cs="Times New Roman"/>
          <w:sz w:val="24"/>
        </w:rPr>
        <w:t>Harvell</w:t>
      </w:r>
      <w:proofErr w:type="spellEnd"/>
      <w:r>
        <w:rPr>
          <w:rFonts w:ascii="Times New Roman" w:eastAsia="Times New Roman" w:hAnsi="Times New Roman" w:cs="Times New Roman"/>
          <w:sz w:val="24"/>
        </w:rPr>
        <w:t>, brittney_harvell15@stu.southuniversity.edu</w:t>
      </w:r>
    </w:p>
    <w:p w:rsidR="00EB41EB" w:rsidRDefault="00DA48D2">
      <w:pPr>
        <w:pStyle w:val="Normal1"/>
      </w:pPr>
      <w:r>
        <w:rPr>
          <w:rFonts w:ascii="Times New Roman" w:eastAsia="Times New Roman" w:hAnsi="Times New Roman" w:cs="Times New Roman"/>
          <w:sz w:val="24"/>
        </w:rPr>
        <w:t>Secretary: Yuen “Sandy” Chan, YLAMCHAN@gmail.com</w:t>
      </w:r>
    </w:p>
    <w:p w:rsidR="00EB41EB" w:rsidRDefault="00DA48D2">
      <w:pPr>
        <w:pStyle w:val="Normal1"/>
      </w:pPr>
      <w:r>
        <w:rPr>
          <w:rFonts w:ascii="Times New Roman" w:eastAsia="Times New Roman" w:hAnsi="Times New Roman" w:cs="Times New Roman"/>
          <w:sz w:val="24"/>
        </w:rPr>
        <w:t>Treasurer: Tran Dang, trandang198999@yahoo.com</w:t>
      </w:r>
    </w:p>
    <w:p w:rsidR="00EB41EB" w:rsidRDefault="00DA48D2">
      <w:pPr>
        <w:pStyle w:val="Normal1"/>
      </w:pPr>
      <w:r>
        <w:rPr>
          <w:rFonts w:ascii="Times New Roman" w:eastAsia="Times New Roman" w:hAnsi="Times New Roman" w:cs="Times New Roman"/>
          <w:sz w:val="24"/>
        </w:rPr>
        <w:t>Historian: Krupa Patel, patel09@stu.southuniversity.edu</w:t>
      </w:r>
    </w:p>
    <w:p w:rsidR="00EB41EB" w:rsidRDefault="00DA48D2">
      <w:pPr>
        <w:pStyle w:val="Normal1"/>
      </w:pPr>
      <w:r>
        <w:rPr>
          <w:rFonts w:ascii="Times New Roman" w:eastAsia="Times New Roman" w:hAnsi="Times New Roman" w:cs="Times New Roman"/>
          <w:sz w:val="24"/>
        </w:rPr>
        <w:t xml:space="preserve"> </w:t>
      </w:r>
    </w:p>
    <w:p w:rsidR="00EB41EB" w:rsidRDefault="00DA48D2">
      <w:pPr>
        <w:pStyle w:val="Normal1"/>
      </w:pPr>
      <w:r>
        <w:rPr>
          <w:rFonts w:ascii="Times New Roman" w:eastAsia="Times New Roman" w:hAnsi="Times New Roman" w:cs="Times New Roman"/>
          <w:sz w:val="24"/>
        </w:rPr>
        <w:t>Current year’s officers and e-mail addresses:</w:t>
      </w:r>
    </w:p>
    <w:p w:rsidR="00EB41EB" w:rsidRDefault="00DA48D2">
      <w:pPr>
        <w:pStyle w:val="Normal1"/>
      </w:pPr>
      <w:r>
        <w:rPr>
          <w:rFonts w:ascii="Times New Roman" w:eastAsia="Times New Roman" w:hAnsi="Times New Roman" w:cs="Times New Roman"/>
          <w:sz w:val="24"/>
        </w:rPr>
        <w:t>President: Janna Nevil, jmnevil@stu.southuniversity.edu</w:t>
      </w:r>
    </w:p>
    <w:p w:rsidR="00EB41EB" w:rsidRDefault="00DA48D2">
      <w:pPr>
        <w:pStyle w:val="Normal1"/>
      </w:pPr>
      <w:r>
        <w:rPr>
          <w:rFonts w:ascii="Times New Roman" w:eastAsia="Times New Roman" w:hAnsi="Times New Roman" w:cs="Times New Roman"/>
          <w:sz w:val="24"/>
        </w:rPr>
        <w:t>Vice-President: Stephanie Gainey, sgainey@stu.southuniversity.edu</w:t>
      </w:r>
    </w:p>
    <w:p w:rsidR="00EB41EB" w:rsidRDefault="00DA48D2">
      <w:pPr>
        <w:pStyle w:val="Normal1"/>
      </w:pPr>
      <w:r>
        <w:rPr>
          <w:rFonts w:ascii="Times New Roman" w:eastAsia="Times New Roman" w:hAnsi="Times New Roman" w:cs="Times New Roman"/>
          <w:sz w:val="24"/>
        </w:rPr>
        <w:t xml:space="preserve">Secretary: Lawanda Brooke </w:t>
      </w:r>
      <w:proofErr w:type="spellStart"/>
      <w:r>
        <w:rPr>
          <w:rFonts w:ascii="Times New Roman" w:eastAsia="Times New Roman" w:hAnsi="Times New Roman" w:cs="Times New Roman"/>
          <w:sz w:val="24"/>
        </w:rPr>
        <w:t>Yeomans</w:t>
      </w:r>
      <w:proofErr w:type="spellEnd"/>
      <w:r>
        <w:rPr>
          <w:rFonts w:ascii="Times New Roman" w:eastAsia="Times New Roman" w:hAnsi="Times New Roman" w:cs="Times New Roman"/>
          <w:sz w:val="24"/>
        </w:rPr>
        <w:t>, lbyeomans@stu.southuniversity.edu</w:t>
      </w:r>
    </w:p>
    <w:p w:rsidR="00EB41EB" w:rsidRDefault="00DA48D2">
      <w:pPr>
        <w:pStyle w:val="Normal1"/>
      </w:pPr>
      <w:r>
        <w:rPr>
          <w:rFonts w:ascii="Times New Roman" w:eastAsia="Times New Roman" w:hAnsi="Times New Roman" w:cs="Times New Roman"/>
          <w:sz w:val="24"/>
        </w:rPr>
        <w:lastRenderedPageBreak/>
        <w:t xml:space="preserve">Treasurer: </w:t>
      </w:r>
      <w:proofErr w:type="spellStart"/>
      <w:r>
        <w:rPr>
          <w:rFonts w:ascii="Times New Roman" w:eastAsia="Times New Roman" w:hAnsi="Times New Roman" w:cs="Times New Roman"/>
          <w:sz w:val="24"/>
        </w:rPr>
        <w:t>Caitlee</w:t>
      </w:r>
      <w:proofErr w:type="spellEnd"/>
      <w:r>
        <w:rPr>
          <w:rFonts w:ascii="Times New Roman" w:eastAsia="Times New Roman" w:hAnsi="Times New Roman" w:cs="Times New Roman"/>
          <w:sz w:val="24"/>
        </w:rPr>
        <w:t xml:space="preserve"> Wilson, caitlee.wilson@stu.southuniversity.edu</w:t>
      </w:r>
    </w:p>
    <w:p w:rsidR="00EB41EB" w:rsidRDefault="00DA48D2">
      <w:pPr>
        <w:pStyle w:val="Normal1"/>
      </w:pPr>
      <w:r>
        <w:rPr>
          <w:rFonts w:ascii="Times New Roman" w:eastAsia="Times New Roman" w:hAnsi="Times New Roman" w:cs="Times New Roman"/>
          <w:sz w:val="24"/>
        </w:rPr>
        <w:t xml:space="preserve">Historian: </w:t>
      </w:r>
      <w:proofErr w:type="spellStart"/>
      <w:r>
        <w:rPr>
          <w:rFonts w:ascii="Times New Roman" w:eastAsia="Times New Roman" w:hAnsi="Times New Roman" w:cs="Times New Roman"/>
          <w:sz w:val="24"/>
        </w:rPr>
        <w:t>Kourtni</w:t>
      </w:r>
      <w:proofErr w:type="spellEnd"/>
      <w:r>
        <w:rPr>
          <w:rFonts w:ascii="Times New Roman" w:eastAsia="Times New Roman" w:hAnsi="Times New Roman" w:cs="Times New Roman"/>
          <w:sz w:val="24"/>
        </w:rPr>
        <w:t xml:space="preserve"> Brewer, kourtni.brewer@stu.southuniversity.edu</w:t>
      </w:r>
    </w:p>
    <w:p w:rsidR="00EB41EB" w:rsidRDefault="00EB41EB">
      <w:pPr>
        <w:pStyle w:val="Normal1"/>
      </w:pPr>
    </w:p>
    <w:p w:rsidR="00EB41EB" w:rsidRDefault="00DA48D2">
      <w:pPr>
        <w:pStyle w:val="Normal1"/>
      </w:pPr>
      <w:r>
        <w:rPr>
          <w:rFonts w:ascii="Times New Roman" w:eastAsia="Times New Roman" w:hAnsi="Times New Roman" w:cs="Times New Roman"/>
          <w:sz w:val="24"/>
        </w:rPr>
        <w:t>Number of Rho Chi student members at college or school, listed by class year and program (and by campus if more than one campus):</w:t>
      </w:r>
    </w:p>
    <w:p w:rsidR="00EB41EB" w:rsidRDefault="00DA48D2">
      <w:pPr>
        <w:pStyle w:val="Normal1"/>
      </w:pPr>
      <w:r>
        <w:rPr>
          <w:rFonts w:ascii="Times New Roman" w:eastAsia="Times New Roman" w:hAnsi="Times New Roman" w:cs="Times New Roman"/>
          <w:sz w:val="24"/>
        </w:rPr>
        <w:t xml:space="preserve">Savannah Campus (Pharmacy): </w:t>
      </w:r>
    </w:p>
    <w:p w:rsidR="00EB41EB" w:rsidRDefault="00DA48D2">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Class of 2015: 16 members</w:t>
      </w:r>
    </w:p>
    <w:p w:rsidR="00EB41EB" w:rsidRDefault="00DA48D2">
      <w:pPr>
        <w:pStyle w:val="Normal1"/>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Class of 2016: 15 members</w:t>
      </w:r>
    </w:p>
    <w:p w:rsidR="00EB41EB" w:rsidRDefault="00DA48D2">
      <w:pPr>
        <w:pStyle w:val="Normal1"/>
      </w:pPr>
      <w:r>
        <w:rPr>
          <w:rFonts w:ascii="Times New Roman" w:eastAsia="Times New Roman" w:hAnsi="Times New Roman" w:cs="Times New Roman"/>
          <w:sz w:val="24"/>
        </w:rPr>
        <w:t>Columbia Campus (Pharmacy):</w:t>
      </w:r>
    </w:p>
    <w:p w:rsidR="00EB41EB" w:rsidRDefault="00DA48D2">
      <w:pPr>
        <w:pStyle w:val="Normal1"/>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Class of 2015: 10 members</w:t>
      </w:r>
    </w:p>
    <w:p w:rsidR="00EB41EB" w:rsidRDefault="00DA48D2">
      <w:pPr>
        <w:pStyle w:val="Normal1"/>
        <w:numPr>
          <w:ilvl w:val="0"/>
          <w:numId w:val="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Class of 2016: 5 members</w:t>
      </w:r>
    </w:p>
    <w:p w:rsidR="00EB41EB" w:rsidRDefault="00DA48D2">
      <w:pPr>
        <w:pStyle w:val="Normal1"/>
        <w:spacing w:after="240"/>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b/>
          <w:sz w:val="24"/>
        </w:rPr>
        <w:t>Meetings:</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1485"/>
        <w:gridCol w:w="1710"/>
        <w:gridCol w:w="3210"/>
        <w:gridCol w:w="2475"/>
      </w:tblGrid>
      <w:tr w:rsidR="00EB41EB">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Date</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Attendance</w:t>
            </w:r>
          </w:p>
        </w:tc>
        <w:tc>
          <w:tcPr>
            <w:tcW w:w="32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Agenda</w:t>
            </w:r>
          </w:p>
        </w:tc>
        <w:tc>
          <w:tcPr>
            <w:tcW w:w="24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Action Steps</w:t>
            </w:r>
          </w:p>
        </w:tc>
      </w:tr>
      <w:tr w:rsidR="00EB41EB">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2/17/15</w:t>
            </w:r>
          </w:p>
        </w:tc>
        <w:tc>
          <w:tcPr>
            <w:tcW w:w="1710"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Officers</w:t>
            </w:r>
          </w:p>
        </w:tc>
        <w:tc>
          <w:tcPr>
            <w:tcW w:w="3210"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The meeting was called to order by President Janna Nevil at 9am.</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ind w:left="200"/>
            </w:pPr>
            <w:r>
              <w:rPr>
                <w:rFonts w:ascii="Times New Roman" w:eastAsia="Times New Roman" w:hAnsi="Times New Roman" w:cs="Times New Roman"/>
                <w:sz w:val="24"/>
              </w:rPr>
              <w:t>Discussion about tutoring, ordering graduation cords, bank situation, bylaws, and sending a delegate to Rho Chi Annual Meeting.</w:t>
            </w:r>
          </w:p>
        </w:tc>
        <w:tc>
          <w:tcPr>
            <w:tcW w:w="2475"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Roby Hersey named the Gamma Upsilon delegate to attend the Rho Chi Annual Meeting.</w:t>
            </w:r>
          </w:p>
          <w:p w:rsidR="00EB41EB" w:rsidRDefault="00DA48D2">
            <w:pPr>
              <w:pStyle w:val="Normal1"/>
              <w:ind w:left="200"/>
            </w:pPr>
            <w:r>
              <w:rPr>
                <w:rFonts w:ascii="Times New Roman" w:eastAsia="Times New Roman" w:hAnsi="Times New Roman" w:cs="Times New Roman"/>
                <w:sz w:val="24"/>
              </w:rPr>
              <w:t xml:space="preserve"> </w:t>
            </w:r>
          </w:p>
          <w:p w:rsidR="00EB41EB" w:rsidRDefault="00DA48D2">
            <w:pPr>
              <w:pStyle w:val="Normal1"/>
              <w:ind w:left="200"/>
            </w:pPr>
            <w:r>
              <w:rPr>
                <w:rFonts w:ascii="Times New Roman" w:eastAsia="Times New Roman" w:hAnsi="Times New Roman" w:cs="Times New Roman"/>
                <w:sz w:val="24"/>
              </w:rPr>
              <w:t>Forms were designed for members to fill out for tutoring preferences.</w:t>
            </w:r>
          </w:p>
          <w:p w:rsidR="00EB41EB" w:rsidRDefault="00DA48D2">
            <w:pPr>
              <w:pStyle w:val="Normal1"/>
              <w:ind w:left="200"/>
            </w:pPr>
            <w:r>
              <w:rPr>
                <w:rFonts w:ascii="Times New Roman" w:eastAsia="Times New Roman" w:hAnsi="Times New Roman" w:cs="Times New Roman"/>
                <w:sz w:val="24"/>
              </w:rPr>
              <w:t xml:space="preserve"> </w:t>
            </w:r>
          </w:p>
          <w:p w:rsidR="00EB41EB" w:rsidRDefault="00DA48D2">
            <w:pPr>
              <w:pStyle w:val="Normal1"/>
              <w:ind w:left="200"/>
            </w:pPr>
            <w:r>
              <w:rPr>
                <w:rFonts w:ascii="Times New Roman" w:eastAsia="Times New Roman" w:hAnsi="Times New Roman" w:cs="Times New Roman"/>
                <w:sz w:val="24"/>
              </w:rPr>
              <w:t>22 cords were ordered for graduates.</w:t>
            </w:r>
          </w:p>
        </w:tc>
      </w:tr>
      <w:tr w:rsidR="00EB41EB">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lastRenderedPageBreak/>
              <w:t>2/16/15</w:t>
            </w:r>
          </w:p>
        </w:tc>
        <w:tc>
          <w:tcPr>
            <w:tcW w:w="1710"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Officers and Members</w:t>
            </w:r>
          </w:p>
        </w:tc>
        <w:tc>
          <w:tcPr>
            <w:tcW w:w="3210"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100"/>
            </w:pPr>
            <w:r>
              <w:rPr>
                <w:rFonts w:ascii="Times New Roman" w:eastAsia="Times New Roman" w:hAnsi="Times New Roman" w:cs="Times New Roman"/>
                <w:sz w:val="24"/>
              </w:rPr>
              <w:t>The meeting was called to order by President Janna Nevil at 9am.</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ind w:left="100"/>
            </w:pPr>
            <w:r>
              <w:rPr>
                <w:rFonts w:ascii="Times New Roman" w:eastAsia="Times New Roman" w:hAnsi="Times New Roman" w:cs="Times New Roman"/>
                <w:sz w:val="24"/>
              </w:rPr>
              <w:t>Discussion and planning of tutoring sessions, white coat fundraiser, voting on a monetary amount to sponsor Roby at Annual.</w:t>
            </w:r>
          </w:p>
          <w:p w:rsidR="00EB41EB" w:rsidRDefault="00DA48D2">
            <w:pPr>
              <w:pStyle w:val="Normal1"/>
            </w:pPr>
            <w:r>
              <w:rPr>
                <w:rFonts w:ascii="Times New Roman" w:eastAsia="Times New Roman" w:hAnsi="Times New Roman" w:cs="Times New Roman"/>
                <w:sz w:val="20"/>
              </w:rP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widowControl w:val="0"/>
            </w:pPr>
            <w:r>
              <w:rPr>
                <w:rFonts w:ascii="Times New Roman" w:eastAsia="Times New Roman" w:hAnsi="Times New Roman" w:cs="Times New Roman"/>
                <w:sz w:val="24"/>
              </w:rPr>
              <w:t xml:space="preserve">Secretary Brooke </w:t>
            </w:r>
            <w:proofErr w:type="spellStart"/>
            <w:r>
              <w:rPr>
                <w:rFonts w:ascii="Times New Roman" w:eastAsia="Times New Roman" w:hAnsi="Times New Roman" w:cs="Times New Roman"/>
                <w:sz w:val="24"/>
              </w:rPr>
              <w:t>Yeomans</w:t>
            </w:r>
            <w:proofErr w:type="spellEnd"/>
            <w:r>
              <w:rPr>
                <w:rFonts w:ascii="Times New Roman" w:eastAsia="Times New Roman" w:hAnsi="Times New Roman" w:cs="Times New Roman"/>
                <w:sz w:val="24"/>
              </w:rPr>
              <w:t xml:space="preserve"> distributed tutoring preference forms.</w:t>
            </w:r>
          </w:p>
          <w:p w:rsidR="00EB41EB" w:rsidRDefault="00EB41EB">
            <w:pPr>
              <w:pStyle w:val="Normal1"/>
              <w:widowControl w:val="0"/>
            </w:pPr>
          </w:p>
          <w:p w:rsidR="00EB41EB" w:rsidRDefault="00DA48D2">
            <w:pPr>
              <w:pStyle w:val="Normal1"/>
              <w:widowControl w:val="0"/>
            </w:pPr>
            <w:r>
              <w:rPr>
                <w:rFonts w:ascii="Times New Roman" w:eastAsia="Times New Roman" w:hAnsi="Times New Roman" w:cs="Times New Roman"/>
                <w:sz w:val="24"/>
              </w:rPr>
              <w:t>Savannah campus will submit tutor applications to the Academic Success Center for tutoring.</w:t>
            </w:r>
          </w:p>
        </w:tc>
      </w:tr>
      <w:tr w:rsidR="00EB41EB">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4/16/15</w:t>
            </w:r>
          </w:p>
        </w:tc>
        <w:tc>
          <w:tcPr>
            <w:tcW w:w="1710"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200"/>
            </w:pPr>
            <w:r>
              <w:rPr>
                <w:rFonts w:ascii="Times New Roman" w:eastAsia="Times New Roman" w:hAnsi="Times New Roman" w:cs="Times New Roman"/>
                <w:sz w:val="24"/>
              </w:rPr>
              <w:t>Officers and Members</w:t>
            </w:r>
          </w:p>
        </w:tc>
        <w:tc>
          <w:tcPr>
            <w:tcW w:w="3210"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ind w:left="100"/>
            </w:pPr>
            <w:r>
              <w:rPr>
                <w:rFonts w:ascii="Times New Roman" w:eastAsia="Times New Roman" w:hAnsi="Times New Roman" w:cs="Times New Roman"/>
                <w:sz w:val="24"/>
              </w:rPr>
              <w:t>The meeting was called to order by President Janna Nevil at 9am.</w:t>
            </w:r>
          </w:p>
          <w:p w:rsidR="00EB41EB" w:rsidRDefault="00DA48D2">
            <w:pPr>
              <w:pStyle w:val="Normal1"/>
              <w:ind w:left="100"/>
            </w:pPr>
            <w:r>
              <w:rPr>
                <w:rFonts w:ascii="Times New Roman" w:eastAsia="Times New Roman" w:hAnsi="Times New Roman" w:cs="Times New Roman"/>
                <w:sz w:val="24"/>
              </w:rPr>
              <w:t xml:space="preserve"> </w:t>
            </w:r>
          </w:p>
          <w:p w:rsidR="00EB41EB" w:rsidRDefault="00DA48D2">
            <w:pPr>
              <w:pStyle w:val="Normal1"/>
              <w:ind w:left="100"/>
            </w:pPr>
            <w:r>
              <w:rPr>
                <w:rFonts w:ascii="Times New Roman" w:eastAsia="Times New Roman" w:hAnsi="Times New Roman" w:cs="Times New Roman"/>
                <w:sz w:val="24"/>
              </w:rPr>
              <w:t>Discussion included amount raised by white coat fundraiser, further tutoring plans, and a possible health screening.</w:t>
            </w:r>
          </w:p>
        </w:tc>
        <w:tc>
          <w:tcPr>
            <w:tcW w:w="2475" w:type="dxa"/>
            <w:tcBorders>
              <w:bottom w:val="single" w:sz="8" w:space="0" w:color="000000"/>
              <w:right w:val="single" w:sz="8" w:space="0" w:color="000000"/>
            </w:tcBorders>
            <w:tcMar>
              <w:top w:w="100" w:type="dxa"/>
              <w:left w:w="100" w:type="dxa"/>
              <w:bottom w:w="100" w:type="dxa"/>
              <w:right w:w="100" w:type="dxa"/>
            </w:tcMar>
          </w:tcPr>
          <w:p w:rsidR="00EB41EB" w:rsidRDefault="00DA48D2">
            <w:pPr>
              <w:pStyle w:val="Normal1"/>
            </w:pPr>
            <w:r>
              <w:rPr>
                <w:rFonts w:ascii="Times New Roman" w:eastAsia="Times New Roman" w:hAnsi="Times New Roman" w:cs="Times New Roman"/>
                <w:sz w:val="24"/>
              </w:rPr>
              <w:t>Continuing to promote tutoring on both campuses.</w:t>
            </w:r>
          </w:p>
          <w:p w:rsidR="00EB41EB" w:rsidRDefault="00EB41EB">
            <w:pPr>
              <w:pStyle w:val="Normal1"/>
            </w:pPr>
          </w:p>
          <w:p w:rsidR="00EB41EB" w:rsidRDefault="00DA48D2">
            <w:pPr>
              <w:pStyle w:val="Normal1"/>
            </w:pPr>
            <w:r>
              <w:rPr>
                <w:rFonts w:ascii="Times New Roman" w:eastAsia="Times New Roman" w:hAnsi="Times New Roman" w:cs="Times New Roman"/>
                <w:sz w:val="24"/>
              </w:rPr>
              <w:t>Discussed having joint-events with other campus organizations (health screening with Kappa Epsilon in May).</w:t>
            </w:r>
          </w:p>
        </w:tc>
      </w:tr>
      <w:tr w:rsidR="00EB41EB">
        <w:tc>
          <w:tcPr>
            <w:tcW w:w="1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41EB" w:rsidRDefault="00DA48D2">
            <w:pPr>
              <w:pStyle w:val="Normal1"/>
              <w:widowControl w:val="0"/>
            </w:pPr>
            <w:proofErr w:type="spellStart"/>
            <w:r>
              <w:rPr>
                <w:rFonts w:ascii="Times New Roman" w:eastAsia="Times New Roman" w:hAnsi="Times New Roman" w:cs="Times New Roman"/>
                <w:sz w:val="2"/>
              </w:rPr>
              <w:t>jhjj</w:t>
            </w:r>
            <w:proofErr w:type="spellEnd"/>
          </w:p>
        </w:tc>
        <w:tc>
          <w:tcPr>
            <w:tcW w:w="1710" w:type="dxa"/>
            <w:tcBorders>
              <w:bottom w:val="single" w:sz="8" w:space="0" w:color="000000"/>
              <w:right w:val="single" w:sz="8" w:space="0" w:color="000000"/>
            </w:tcBorders>
            <w:tcMar>
              <w:top w:w="100" w:type="dxa"/>
              <w:left w:w="100" w:type="dxa"/>
              <w:bottom w:w="100" w:type="dxa"/>
              <w:right w:w="100" w:type="dxa"/>
            </w:tcMar>
          </w:tcPr>
          <w:p w:rsidR="00EB41EB" w:rsidRDefault="00EB41EB">
            <w:pPr>
              <w:pStyle w:val="Normal1"/>
              <w:widowControl w:val="0"/>
            </w:pPr>
          </w:p>
        </w:tc>
        <w:tc>
          <w:tcPr>
            <w:tcW w:w="3210" w:type="dxa"/>
            <w:tcBorders>
              <w:bottom w:val="single" w:sz="8" w:space="0" w:color="000000"/>
              <w:right w:val="single" w:sz="8" w:space="0" w:color="000000"/>
            </w:tcBorders>
            <w:tcMar>
              <w:top w:w="100" w:type="dxa"/>
              <w:left w:w="100" w:type="dxa"/>
              <w:bottom w:w="100" w:type="dxa"/>
              <w:right w:w="100" w:type="dxa"/>
            </w:tcMar>
          </w:tcPr>
          <w:p w:rsidR="00EB41EB" w:rsidRDefault="00EB41EB">
            <w:pPr>
              <w:pStyle w:val="Normal1"/>
              <w:widowControl w:val="0"/>
            </w:pPr>
          </w:p>
        </w:tc>
        <w:tc>
          <w:tcPr>
            <w:tcW w:w="2475" w:type="dxa"/>
            <w:tcBorders>
              <w:bottom w:val="single" w:sz="8" w:space="0" w:color="000000"/>
              <w:right w:val="single" w:sz="8" w:space="0" w:color="000000"/>
            </w:tcBorders>
            <w:tcMar>
              <w:top w:w="100" w:type="dxa"/>
              <w:left w:w="100" w:type="dxa"/>
              <w:bottom w:w="100" w:type="dxa"/>
              <w:right w:w="100" w:type="dxa"/>
            </w:tcMar>
          </w:tcPr>
          <w:p w:rsidR="00EB41EB" w:rsidRDefault="00EB41EB">
            <w:pPr>
              <w:pStyle w:val="Normal1"/>
              <w:widowControl w:val="0"/>
            </w:pPr>
          </w:p>
        </w:tc>
      </w:tr>
    </w:tbl>
    <w:p w:rsidR="00EB41EB" w:rsidRDefault="00DA48D2">
      <w:pPr>
        <w:pStyle w:val="Normal1"/>
      </w:pPr>
      <w:r>
        <w:rPr>
          <w:rFonts w:ascii="Times New Roman" w:eastAsia="Times New Roman" w:hAnsi="Times New Roman" w:cs="Times New Roman"/>
          <w:b/>
          <w:sz w:val="24"/>
        </w:rPr>
        <w:t xml:space="preserve"> </w:t>
      </w:r>
    </w:p>
    <w:p w:rsidR="00EB41EB" w:rsidRDefault="00DA48D2">
      <w:pPr>
        <w:pStyle w:val="Normal1"/>
      </w:pPr>
      <w:r>
        <w:rPr>
          <w:rFonts w:ascii="Times New Roman" w:eastAsia="Times New Roman" w:hAnsi="Times New Roman" w:cs="Times New Roman"/>
          <w:b/>
          <w:sz w:val="24"/>
        </w:rPr>
        <w:t>Strategic Planning:</w:t>
      </w:r>
    </w:p>
    <w:p w:rsidR="00EB41EB" w:rsidRDefault="00DA48D2">
      <w:pPr>
        <w:pStyle w:val="Normal1"/>
      </w:pPr>
      <w:r>
        <w:rPr>
          <w:rFonts w:ascii="Times New Roman" w:eastAsia="Times New Roman" w:hAnsi="Times New Roman" w:cs="Times New Roman"/>
          <w:sz w:val="24"/>
        </w:rPr>
        <w:t xml:space="preserve">The mission of Rho Chi Society is to </w:t>
      </w:r>
      <w:r>
        <w:rPr>
          <w:rFonts w:ascii="Times New Roman" w:eastAsia="Times New Roman" w:hAnsi="Times New Roman" w:cs="Times New Roman"/>
          <w:color w:val="333333"/>
          <w:sz w:val="24"/>
        </w:rPr>
        <w:t>encourage and recognize excellence in intellectual achievement and advocate critical inquiry in all aspects of pharmacy. The Society further encourages high standards of conduct and character and fosters fellowship among its members. Our chapter’s goals relate directly to the Rho Chi mission.</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color w:val="333333"/>
          <w:sz w:val="24"/>
        </w:rPr>
        <w:lastRenderedPageBreak/>
        <w:t>Our goal is to continue carrying out the tutoring sessions, helping pharmacy students on individual basis when needed, and to encourage more students and members to be part of the Rho Chi activities that include reaching out to the community outside of school. Our community service goal is to continue devoting our time for a cause in the community by interacting and working with the other chapters on the campus and plan to attend events on and off the campus.</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color w:val="333333"/>
          <w:sz w:val="24"/>
        </w:rPr>
        <w:t>We also plan to reach out to the undergraduate schools as well as high schools in the local area. This would help the students that are interested in pursuing a pharmacy career in the future and also get pharmacy better recognized within our community.  Our main goal is to continuing to better serve our fellow pharmacy students and community.</w:t>
      </w:r>
    </w:p>
    <w:p w:rsidR="00EB41EB" w:rsidRDefault="00DA48D2">
      <w:pPr>
        <w:pStyle w:val="Normal1"/>
      </w:pPr>
      <w:r>
        <w:rPr>
          <w:rFonts w:ascii="Times New Roman" w:eastAsia="Times New Roman" w:hAnsi="Times New Roman" w:cs="Times New Roman"/>
          <w:b/>
          <w:sz w:val="24"/>
        </w:rPr>
        <w:t xml:space="preserve"> </w:t>
      </w:r>
    </w:p>
    <w:p w:rsidR="00EB41EB" w:rsidRDefault="00DA48D2">
      <w:pPr>
        <w:pStyle w:val="Normal1"/>
      </w:pPr>
      <w:r>
        <w:rPr>
          <w:rFonts w:ascii="Times New Roman" w:eastAsia="Times New Roman" w:hAnsi="Times New Roman" w:cs="Times New Roman"/>
          <w:b/>
          <w:sz w:val="24"/>
        </w:rPr>
        <w:t xml:space="preserve"> </w:t>
      </w:r>
    </w:p>
    <w:p w:rsidR="00EB41EB" w:rsidRDefault="00DA48D2">
      <w:pPr>
        <w:pStyle w:val="Normal1"/>
      </w:pPr>
      <w:r>
        <w:rPr>
          <w:rFonts w:ascii="Times New Roman" w:eastAsia="Times New Roman" w:hAnsi="Times New Roman" w:cs="Times New Roman"/>
          <w:b/>
          <w:sz w:val="24"/>
        </w:rPr>
        <w:t xml:space="preserve">Activities: </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color w:val="333333"/>
          <w:sz w:val="24"/>
        </w:rPr>
        <w:t>The two most challenging courses in the first year of our three year accelerated program are Pharmacokinetics and Infectious Diseases. The Columbia campus holds tutoring sessions several days before tests in both of these courses to provide a brief overview of key topics and to answer any student questions. Tutoring is also provided for the remaining courses throughout the quarter on an as needed basis based on student requests. The Savannah campus provides tutoring services on as needed basis when students request these sessions.</w:t>
      </w:r>
    </w:p>
    <w:p w:rsidR="00EB41EB" w:rsidRDefault="00DA48D2">
      <w:pPr>
        <w:pStyle w:val="Normal1"/>
      </w:pPr>
      <w:r>
        <w:rPr>
          <w:rFonts w:ascii="Times New Roman" w:eastAsia="Times New Roman" w:hAnsi="Times New Roman" w:cs="Times New Roman"/>
          <w:color w:val="333333"/>
          <w:sz w:val="20"/>
        </w:rPr>
        <w:t xml:space="preserve"> </w:t>
      </w:r>
    </w:p>
    <w:p w:rsidR="00EB41EB" w:rsidRDefault="00DA48D2">
      <w:pPr>
        <w:pStyle w:val="Normal1"/>
      </w:pPr>
      <w:r>
        <w:rPr>
          <w:rFonts w:ascii="Times New Roman" w:eastAsia="Times New Roman" w:hAnsi="Times New Roman" w:cs="Times New Roman"/>
          <w:color w:val="333333"/>
          <w:sz w:val="24"/>
        </w:rPr>
        <w:t>In preparation for the Intermediate Pharmacy Practice Experience rotations and Advance Pharmacy Practice Experience rotations, a lab coat fundraiser was offered to both campuses.  During this fundraiser, students had the opportunity to purchase new lab coats with the South University School of Pharmacy logo and their name embroidered on them.</w:t>
      </w:r>
    </w:p>
    <w:p w:rsidR="00EB41EB" w:rsidRDefault="00DA48D2">
      <w:pPr>
        <w:pStyle w:val="Normal1"/>
      </w:pPr>
      <w:r>
        <w:rPr>
          <w:rFonts w:ascii="Times New Roman" w:eastAsia="Times New Roman" w:hAnsi="Times New Roman" w:cs="Times New Roman"/>
          <w:color w:val="333333"/>
          <w:sz w:val="20"/>
        </w:rPr>
        <w:t xml:space="preserve"> </w:t>
      </w:r>
    </w:p>
    <w:p w:rsidR="00EB41EB" w:rsidRDefault="00DA48D2">
      <w:pPr>
        <w:pStyle w:val="Normal1"/>
      </w:pPr>
      <w:r>
        <w:rPr>
          <w:rFonts w:ascii="Times New Roman" w:eastAsia="Times New Roman" w:hAnsi="Times New Roman" w:cs="Times New Roman"/>
          <w:color w:val="333333"/>
          <w:sz w:val="24"/>
        </w:rPr>
        <w:t>Rho Chi Members interact and work with the other organizations on our campus to help serve the community and promote the profession of pharmacy. The community service events in the school year of 2014-2015 included Midlands Heart Walk, Light the Night Walk, March of Dimes Babies Walk, JDRF Walk, and Blood Pressure Monitoring/Hypertension Education events throughout the state in conjunction with Walgreens. Some of our members donated blood to The American Red Cross during a blood drive organized by the Health and Wellness Club at our school.</w:t>
      </w:r>
    </w:p>
    <w:p w:rsidR="00EB41EB" w:rsidRDefault="00DA48D2">
      <w:pPr>
        <w:pStyle w:val="Normal1"/>
        <w:spacing w:after="240"/>
      </w:pPr>
      <w:r>
        <w:rPr>
          <w:rFonts w:ascii="Times New Roman" w:eastAsia="Times New Roman" w:hAnsi="Times New Roman" w:cs="Times New Roman"/>
          <w:sz w:val="20"/>
          <w:highlight w:val="yellow"/>
        </w:rPr>
        <w:t xml:space="preserve"> </w:t>
      </w:r>
    </w:p>
    <w:p w:rsidR="00EB41EB" w:rsidRDefault="00DA48D2">
      <w:pPr>
        <w:pStyle w:val="Normal1"/>
      </w:pPr>
      <w:r>
        <w:rPr>
          <w:rFonts w:ascii="Times New Roman" w:eastAsia="Times New Roman" w:hAnsi="Times New Roman" w:cs="Times New Roman"/>
          <w:b/>
          <w:sz w:val="24"/>
        </w:rPr>
        <w:t xml:space="preserve">Financial/Budgeting: </w:t>
      </w:r>
    </w:p>
    <w:p w:rsidR="00EB41EB" w:rsidRDefault="00DA48D2">
      <w:pPr>
        <w:pStyle w:val="Normal1"/>
      </w:pPr>
      <w:r>
        <w:rPr>
          <w:rFonts w:ascii="Times New Roman" w:eastAsia="Times New Roman" w:hAnsi="Times New Roman" w:cs="Times New Roman"/>
          <w:sz w:val="20"/>
          <w:highlight w:val="yellow"/>
        </w:rPr>
        <w:t xml:space="preserve"> </w:t>
      </w:r>
    </w:p>
    <w:p w:rsidR="00EB41EB" w:rsidRDefault="00DA48D2">
      <w:pPr>
        <w:pStyle w:val="Normal1"/>
      </w:pPr>
      <w:r>
        <w:rPr>
          <w:rFonts w:ascii="Times New Roman" w:eastAsia="Times New Roman" w:hAnsi="Times New Roman" w:cs="Times New Roman"/>
          <w:sz w:val="24"/>
        </w:rPr>
        <w:t xml:space="preserve">Budget of Gamma Upsilon Chapter was managed by </w:t>
      </w:r>
      <w:proofErr w:type="spellStart"/>
      <w:r>
        <w:rPr>
          <w:rFonts w:ascii="Times New Roman" w:eastAsia="Times New Roman" w:hAnsi="Times New Roman" w:cs="Times New Roman"/>
          <w:sz w:val="24"/>
        </w:rPr>
        <w:t>Caitlee</w:t>
      </w:r>
      <w:proofErr w:type="spellEnd"/>
      <w:r>
        <w:rPr>
          <w:rFonts w:ascii="Times New Roman" w:eastAsia="Times New Roman" w:hAnsi="Times New Roman" w:cs="Times New Roman"/>
          <w:sz w:val="24"/>
        </w:rPr>
        <w:t xml:space="preserve"> Wilson (treasure) and Janna Nevil (president). The chapter’s liabilities were an induction dinner and ceremony supplies for new members, cords for graduation, and the fee for our Rho Chi representative to attend </w:t>
      </w:r>
      <w:proofErr w:type="spellStart"/>
      <w:r>
        <w:rPr>
          <w:rFonts w:ascii="Times New Roman" w:eastAsia="Times New Roman" w:hAnsi="Times New Roman" w:cs="Times New Roman"/>
          <w:sz w:val="24"/>
        </w:rPr>
        <w:t>APhA</w:t>
      </w:r>
      <w:proofErr w:type="spellEnd"/>
      <w:r>
        <w:rPr>
          <w:rFonts w:ascii="Times New Roman" w:eastAsia="Times New Roman" w:hAnsi="Times New Roman" w:cs="Times New Roman"/>
          <w:sz w:val="24"/>
        </w:rPr>
        <w:t xml:space="preserve"> annual meeting. The financial statements were completed and presented to advisors and members. We discussed the chapter’s budget periodically. Fundraising was done through Pharmacy Student Leadership Council’s school logo order. Rho Chi also raised money by selling white coats to students. All benefits went to the chapter’s bank account.  </w:t>
      </w:r>
    </w:p>
    <w:p w:rsidR="00EB41EB" w:rsidRDefault="00DA48D2">
      <w:pPr>
        <w:pStyle w:val="Normal1"/>
      </w:pPr>
      <w:r>
        <w:rPr>
          <w:rFonts w:ascii="Times New Roman" w:eastAsia="Times New Roman" w:hAnsi="Times New Roman" w:cs="Times New Roman"/>
          <w:b/>
          <w:sz w:val="24"/>
        </w:rPr>
        <w:t xml:space="preserve"> </w:t>
      </w:r>
    </w:p>
    <w:p w:rsidR="00EB41EB" w:rsidRDefault="00DA48D2">
      <w:pPr>
        <w:pStyle w:val="Normal1"/>
      </w:pPr>
      <w:r>
        <w:rPr>
          <w:rFonts w:ascii="Times New Roman" w:eastAsia="Times New Roman" w:hAnsi="Times New Roman" w:cs="Times New Roman"/>
          <w:b/>
          <w:sz w:val="24"/>
        </w:rPr>
        <w:t xml:space="preserve">Initiation Function: </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sz w:val="24"/>
        </w:rPr>
        <w:t xml:space="preserve">The initiation ceremony for the Columbia, SC and Savannah, GA campuses were held separately.  Columbia campus held the initiation on October 14, 2014, at </w:t>
      </w:r>
      <w:proofErr w:type="spellStart"/>
      <w:r>
        <w:rPr>
          <w:rFonts w:ascii="Times New Roman" w:eastAsia="Times New Roman" w:hAnsi="Times New Roman" w:cs="Times New Roman"/>
          <w:sz w:val="24"/>
        </w:rPr>
        <w:t>Rioz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Brazillian</w:t>
      </w:r>
      <w:proofErr w:type="spellEnd"/>
      <w:r>
        <w:rPr>
          <w:rFonts w:ascii="Times New Roman" w:eastAsia="Times New Roman" w:hAnsi="Times New Roman" w:cs="Times New Roman"/>
          <w:sz w:val="24"/>
        </w:rPr>
        <w:t xml:space="preserve"> Steakhouse in </w:t>
      </w:r>
      <w:proofErr w:type="spellStart"/>
      <w:r>
        <w:rPr>
          <w:rFonts w:ascii="Times New Roman" w:eastAsia="Times New Roman" w:hAnsi="Times New Roman" w:cs="Times New Roman"/>
          <w:sz w:val="24"/>
        </w:rPr>
        <w:t>Irmo</w:t>
      </w:r>
      <w:proofErr w:type="spellEnd"/>
      <w:r>
        <w:rPr>
          <w:rFonts w:ascii="Times New Roman" w:eastAsia="Times New Roman" w:hAnsi="Times New Roman" w:cs="Times New Roman"/>
          <w:sz w:val="24"/>
        </w:rPr>
        <w:t xml:space="preserve">, SC. The ceremony was led by Michael Fano-Schultze and </w:t>
      </w:r>
      <w:proofErr w:type="spellStart"/>
      <w:r>
        <w:rPr>
          <w:rFonts w:ascii="Times New Roman" w:eastAsia="Times New Roman" w:hAnsi="Times New Roman" w:cs="Times New Roman"/>
          <w:sz w:val="24"/>
        </w:rPr>
        <w:t>Drs</w:t>
      </w:r>
      <w:proofErr w:type="spellEnd"/>
      <w:r>
        <w:rPr>
          <w:rFonts w:ascii="Times New Roman" w:eastAsia="Times New Roman" w:hAnsi="Times New Roman" w:cs="Times New Roman"/>
          <w:sz w:val="24"/>
        </w:rPr>
        <w:t xml:space="preserve"> Sarah Braga and Arthur Cox. Savannah’s initiation ceremony was held on November 11th, 2014, at Bella’s Italian Cafe. The ceremony was led by Brittney </w:t>
      </w:r>
      <w:proofErr w:type="spellStart"/>
      <w:r>
        <w:rPr>
          <w:rFonts w:ascii="Times New Roman" w:eastAsia="Times New Roman" w:hAnsi="Times New Roman" w:cs="Times New Roman"/>
          <w:sz w:val="24"/>
        </w:rPr>
        <w:t>Harvell</w:t>
      </w:r>
      <w:proofErr w:type="spellEnd"/>
      <w:r>
        <w:rPr>
          <w:rFonts w:ascii="Times New Roman" w:eastAsia="Times New Roman" w:hAnsi="Times New Roman" w:cs="Times New Roman"/>
          <w:sz w:val="24"/>
        </w:rPr>
        <w:t xml:space="preserve"> along with Dean </w:t>
      </w:r>
      <w:proofErr w:type="spellStart"/>
      <w:r>
        <w:rPr>
          <w:rFonts w:ascii="Times New Roman" w:eastAsia="Times New Roman" w:hAnsi="Times New Roman" w:cs="Times New Roman"/>
          <w:sz w:val="24"/>
        </w:rPr>
        <w:t>Rondall</w:t>
      </w:r>
      <w:proofErr w:type="spellEnd"/>
      <w:r>
        <w:rPr>
          <w:rFonts w:ascii="Times New Roman" w:eastAsia="Times New Roman" w:hAnsi="Times New Roman" w:cs="Times New Roman"/>
          <w:sz w:val="24"/>
        </w:rPr>
        <w:t xml:space="preserve"> Allen. Our members were traditionally induced, and as new members of Rho Chi, took their oath. In attendance of the ceremony were family, friends, and faculty members.</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b/>
          <w:sz w:val="24"/>
        </w:rPr>
        <w:t>Evaluation/Reflection:</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sz w:val="24"/>
        </w:rPr>
        <w:t>On behalf of the members of the Gamma Upsilon Chapter, we are all excited and honored by our acceptance into the Rho Chi Pharmacy Honor Society. As we transition into our new roles as elected officers and active members we hope to carry forward the Chapter to the best of our ability. Already we have organized and provided several tutoring sessions for the underclassmen; by all accounts these have been beneficial to all that have participated. Furthermore, it is our goal to further mold the Chapter to best serve our University and student body. As President, I believe this class of new members is very capable of exceeding any and all expectations set before us.</w:t>
      </w:r>
    </w:p>
    <w:p w:rsidR="00EB41EB" w:rsidRDefault="00DA48D2">
      <w:pPr>
        <w:pStyle w:val="Normal1"/>
      </w:pPr>
      <w:r>
        <w:rPr>
          <w:rFonts w:ascii="Times New Roman" w:eastAsia="Times New Roman" w:hAnsi="Times New Roman" w:cs="Times New Roman"/>
          <w:sz w:val="20"/>
        </w:rPr>
        <w:t xml:space="preserve"> </w:t>
      </w:r>
    </w:p>
    <w:p w:rsidR="00EB41EB" w:rsidRDefault="00DA48D2">
      <w:pPr>
        <w:pStyle w:val="Normal1"/>
      </w:pPr>
      <w:r>
        <w:rPr>
          <w:rFonts w:ascii="Times New Roman" w:eastAsia="Times New Roman" w:hAnsi="Times New Roman" w:cs="Times New Roman"/>
          <w:b/>
          <w:sz w:val="24"/>
        </w:rPr>
        <w:t>Other Information:</w:t>
      </w:r>
    </w:p>
    <w:p w:rsidR="00EB41EB" w:rsidRDefault="00DA48D2">
      <w:pPr>
        <w:pStyle w:val="Normal1"/>
      </w:pPr>
      <w:r>
        <w:rPr>
          <w:rFonts w:ascii="Times New Roman" w:eastAsia="Times New Roman" w:hAnsi="Times New Roman" w:cs="Times New Roman"/>
          <w:b/>
          <w:sz w:val="24"/>
        </w:rPr>
        <w:t xml:space="preserve">  </w:t>
      </w:r>
    </w:p>
    <w:p w:rsidR="00EB41EB" w:rsidRDefault="00DA48D2">
      <w:pPr>
        <w:pStyle w:val="Normal1"/>
      </w:pPr>
      <w:r>
        <w:rPr>
          <w:rFonts w:ascii="Times New Roman" w:eastAsia="Times New Roman" w:hAnsi="Times New Roman" w:cs="Times New Roman"/>
          <w:sz w:val="24"/>
        </w:rPr>
        <w:t>South University School of Pharmacy is an accelerated 3-year program. Due to the third year consisting of APPE’s, our Rho Chi members rarely see the previous officers. This is a challenge in that we, as new officers, have to begin running a successful organization with minimal information. Although we face many unusual challenges due to the rapid transition of members, we have come together and accomplished many things throughout the year. Each member of our organization has taken the time to introduce Rho Chi to the Class of 2017 and we have encouraged them to take full advantage of the activities we promote.</w:t>
      </w:r>
    </w:p>
    <w:p w:rsidR="00EB41EB" w:rsidRDefault="00DA48D2">
      <w:pPr>
        <w:pStyle w:val="Normal1"/>
      </w:pPr>
      <w:r>
        <w:rPr>
          <w:rFonts w:ascii="Times New Roman" w:eastAsia="Times New Roman" w:hAnsi="Times New Roman" w:cs="Times New Roman"/>
          <w:sz w:val="20"/>
        </w:rPr>
        <w:t xml:space="preserve"> </w:t>
      </w:r>
    </w:p>
    <w:p w:rsidR="00EB41EB" w:rsidRDefault="00EB41EB">
      <w:pPr>
        <w:pStyle w:val="Normal1"/>
      </w:pPr>
    </w:p>
    <w:p w:rsidR="00EB41EB" w:rsidRDefault="00DA48D2">
      <w:pPr>
        <w:pStyle w:val="Normal1"/>
        <w:jc w:val="center"/>
      </w:pPr>
      <w:r>
        <w:rPr>
          <w:rFonts w:ascii="Times New Roman" w:eastAsia="Times New Roman" w:hAnsi="Times New Roman" w:cs="Times New Roman"/>
          <w:b/>
          <w:sz w:val="24"/>
        </w:rPr>
        <w:t>Appendix 1</w:t>
      </w:r>
    </w:p>
    <w:p w:rsidR="00EB41EB" w:rsidRDefault="00DA48D2">
      <w:pPr>
        <w:pStyle w:val="Normal1"/>
        <w:jc w:val="center"/>
      </w:pPr>
      <w:r>
        <w:rPr>
          <w:rFonts w:ascii="Times New Roman" w:eastAsia="Times New Roman" w:hAnsi="Times New Roman" w:cs="Times New Roman"/>
          <w:b/>
          <w:sz w:val="24"/>
        </w:rPr>
        <w:t>Chapter Activities Report Template</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7"/>
        <w:gridCol w:w="1620"/>
        <w:gridCol w:w="1725"/>
        <w:gridCol w:w="2190"/>
        <w:gridCol w:w="1856"/>
        <w:gridCol w:w="1856"/>
        <w:gridCol w:w="1856"/>
      </w:tblGrid>
      <w:tr w:rsidR="00EB41EB">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Category of Activity</w:t>
            </w:r>
          </w:p>
        </w:tc>
        <w:tc>
          <w:tcPr>
            <w:tcW w:w="162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Title of Activity</w:t>
            </w:r>
          </w:p>
        </w:tc>
        <w:tc>
          <w:tcPr>
            <w:tcW w:w="1725"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Brief Description</w:t>
            </w:r>
          </w:p>
        </w:tc>
        <w:tc>
          <w:tcPr>
            <w:tcW w:w="219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How Does This Activity Align With the Rho Chi Mission Statement?</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Years the Activity has Been Ongoing? If Activity has Been Ongoing for &gt;1 Year, What Evaluations Have Been Done to Assess the Success of the Activity and What Improvements Have Been Done Over the Past Year?</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How Many Members Participated in the Activity? How Many Students (non-members) and/or Patients were impacted by the Activity?</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Financial Information for the activity [budget required, fundraising amount]</w:t>
            </w:r>
          </w:p>
        </w:tc>
      </w:tr>
      <w:tr w:rsidR="00EB41EB">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Intellectual Leadership Activities (tutoring, sponsored lectures, poster sessions, </w:t>
            </w:r>
            <w:proofErr w:type="spellStart"/>
            <w:r>
              <w:rPr>
                <w:rFonts w:ascii="Times New Roman" w:eastAsia="Times New Roman" w:hAnsi="Times New Roman" w:cs="Times New Roman"/>
                <w:sz w:val="16"/>
              </w:rPr>
              <w:t>etc</w:t>
            </w:r>
            <w:proofErr w:type="spellEnd"/>
            <w:r>
              <w:rPr>
                <w:rFonts w:ascii="Times New Roman" w:eastAsia="Times New Roman" w:hAnsi="Times New Roman" w:cs="Times New Roman"/>
                <w:sz w:val="16"/>
              </w:rPr>
              <w:t>)</w:t>
            </w:r>
          </w:p>
        </w:tc>
        <w:tc>
          <w:tcPr>
            <w:tcW w:w="162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Tutoring</w:t>
            </w:r>
          </w:p>
        </w:tc>
        <w:tc>
          <w:tcPr>
            <w:tcW w:w="1725"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Rho Chi students led individual and group tutoring sessions in various courses to underclassmen. </w:t>
            </w:r>
          </w:p>
        </w:tc>
        <w:tc>
          <w:tcPr>
            <w:tcW w:w="219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Promoting and encouraging academic success in our school and chapter.</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Tutoring at SUSOP has been ongoing for at least the past three years. As a split campus, we discuss the success and failures in our tutoring. This information is passed onto new officers each year at Officer Transitions. </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As of May 2015, there have been about 10 tutoring sessions held between the two campuses. Each tutoring session ranges from 1 to 10 (non-member) students and at least 1 Rho Chi member.</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None. </w:t>
            </w:r>
          </w:p>
        </w:tc>
      </w:tr>
      <w:tr w:rsidR="00EB41EB">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College of Pharmacy Events [non-academic, non-patient outreach]</w:t>
            </w:r>
          </w:p>
        </w:tc>
        <w:tc>
          <w:tcPr>
            <w:tcW w:w="162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Leukemia and Lymphoma Society Light the Night Walk</w:t>
            </w:r>
          </w:p>
        </w:tc>
        <w:tc>
          <w:tcPr>
            <w:tcW w:w="1725"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Members helped raise money for the Leukemia and Lymphoma Society and participated in the Light the Night Walk to raise awareness for the Society with members of Kappa Psi Fraternity and </w:t>
            </w:r>
            <w:proofErr w:type="spellStart"/>
            <w:r>
              <w:rPr>
                <w:rFonts w:ascii="Times New Roman" w:eastAsia="Times New Roman" w:hAnsi="Times New Roman" w:cs="Times New Roman"/>
                <w:sz w:val="16"/>
              </w:rPr>
              <w:t>SNPhA</w:t>
            </w:r>
            <w:proofErr w:type="spellEnd"/>
            <w:r>
              <w:rPr>
                <w:rFonts w:ascii="Times New Roman" w:eastAsia="Times New Roman" w:hAnsi="Times New Roman" w:cs="Times New Roman"/>
                <w:sz w:val="16"/>
              </w:rPr>
              <w:t>.</w:t>
            </w:r>
          </w:p>
        </w:tc>
        <w:tc>
          <w:tcPr>
            <w:tcW w:w="219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To advance the profession of pharmacy and foster fellowship among members.</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Members have been participating in this event for the past two years. After the first year, goals were set to raise more money for the Leukemia and Lymphoma Society in the following years.</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Approximately 10 members participated in this event. Patients and families of patients with leukemia and lymphoma throughout the state were impacted.</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More than $1500 was donated to the Leukemia and Lymphoma Society as a result of the donations and funds raised for this event. </w:t>
            </w:r>
          </w:p>
        </w:tc>
      </w:tr>
      <w:tr w:rsidR="00EB41EB">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Patient Outreach Events/Community Service</w:t>
            </w:r>
          </w:p>
        </w:tc>
        <w:tc>
          <w:tcPr>
            <w:tcW w:w="162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YMCA Health Screening with Kappa Epsilon</w:t>
            </w:r>
          </w:p>
        </w:tc>
        <w:tc>
          <w:tcPr>
            <w:tcW w:w="1725"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Members participated in a health screening partnering with Kappa Epsilon Fraternity. Lab values taken at the health screening included blood pressure, blood glucose, and BMI.</w:t>
            </w:r>
          </w:p>
        </w:tc>
        <w:tc>
          <w:tcPr>
            <w:tcW w:w="219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To advance the profession of pharmacy and improve the care of the patients’ served. </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One year.</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Five members of Rho Chi attended the health screening. We were able to serve 30 patients. </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None.</w:t>
            </w:r>
          </w:p>
        </w:tc>
      </w:tr>
      <w:tr w:rsidR="00EB41EB">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Fundraising Events</w:t>
            </w:r>
          </w:p>
        </w:tc>
        <w:tc>
          <w:tcPr>
            <w:tcW w:w="162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White Coat Fundraiser</w:t>
            </w:r>
          </w:p>
        </w:tc>
        <w:tc>
          <w:tcPr>
            <w:tcW w:w="1725"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Our chapter promoted the sale of white coats in both Savannah and Columbia campus as a fundraiser for our chapter. </w:t>
            </w:r>
          </w:p>
        </w:tc>
        <w:tc>
          <w:tcPr>
            <w:tcW w:w="2190"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To advance the profession of pharmacy and improve the care of the patients’ served. </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This fundraiser has been ongoing for at least two years. Our success and failures in this event are documented and will be passed down to upcoming officers at Officer Transitions. </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All members of Rho Chi promoted the sale of the white coats on both campuses. We sold 50 lab coats. </w:t>
            </w:r>
          </w:p>
        </w:tc>
        <w:tc>
          <w:tcPr>
            <w:tcW w:w="1856" w:type="dxa"/>
            <w:tcMar>
              <w:top w:w="100" w:type="dxa"/>
              <w:left w:w="100" w:type="dxa"/>
              <w:bottom w:w="100" w:type="dxa"/>
              <w:right w:w="100" w:type="dxa"/>
            </w:tcMar>
          </w:tcPr>
          <w:p w:rsidR="00EB41EB" w:rsidRDefault="00DA48D2">
            <w:pPr>
              <w:pStyle w:val="Normal1"/>
              <w:widowControl w:val="0"/>
              <w:spacing w:line="240" w:lineRule="auto"/>
            </w:pPr>
            <w:r>
              <w:rPr>
                <w:rFonts w:ascii="Times New Roman" w:eastAsia="Times New Roman" w:hAnsi="Times New Roman" w:cs="Times New Roman"/>
                <w:sz w:val="16"/>
              </w:rPr>
              <w:t xml:space="preserve">Coordinated cost of lab coats to gain a profit for our chapter. </w:t>
            </w:r>
          </w:p>
        </w:tc>
      </w:tr>
    </w:tbl>
    <w:p w:rsidR="00EB41EB" w:rsidRDefault="00EB41EB">
      <w:pPr>
        <w:pStyle w:val="Normal1"/>
      </w:pPr>
    </w:p>
    <w:p w:rsidR="00EB41EB" w:rsidRDefault="00EB41EB">
      <w:pPr>
        <w:pStyle w:val="Normal1"/>
      </w:pPr>
    </w:p>
    <w:p w:rsidR="00EB41EB" w:rsidRDefault="00EB41EB">
      <w:pPr>
        <w:pStyle w:val="Normal1"/>
      </w:pPr>
    </w:p>
    <w:p w:rsidR="00EB41EB" w:rsidRDefault="00EB41EB">
      <w:pPr>
        <w:pStyle w:val="Normal1"/>
      </w:pPr>
    </w:p>
    <w:p w:rsidR="00EB41EB" w:rsidRDefault="00DA48D2">
      <w:pPr>
        <w:pStyle w:val="Normal1"/>
      </w:pPr>
      <w:r>
        <w:br w:type="page"/>
      </w:r>
    </w:p>
    <w:p w:rsidR="00EB41EB" w:rsidRDefault="00EB41EB">
      <w:pPr>
        <w:pStyle w:val="Normal1"/>
      </w:pPr>
    </w:p>
    <w:p w:rsidR="00EB41EB" w:rsidRDefault="00DA48D2">
      <w:pPr>
        <w:pStyle w:val="Normal1"/>
        <w:jc w:val="center"/>
      </w:pPr>
      <w:r>
        <w:rPr>
          <w:sz w:val="20"/>
        </w:rPr>
        <w:t>Appendix 2</w:t>
      </w:r>
    </w:p>
    <w:p w:rsidR="00EB41EB" w:rsidRDefault="00DA48D2">
      <w:pPr>
        <w:pStyle w:val="Normal1"/>
        <w:jc w:val="center"/>
      </w:pPr>
      <w:r>
        <w:rPr>
          <w:sz w:val="20"/>
        </w:rPr>
        <w:t xml:space="preserve"> </w:t>
      </w:r>
    </w:p>
    <w:p w:rsidR="00EB41EB" w:rsidRDefault="00DA48D2">
      <w:pPr>
        <w:pStyle w:val="Normal1"/>
        <w:jc w:val="center"/>
      </w:pPr>
      <w:r>
        <w:rPr>
          <w:sz w:val="20"/>
        </w:rPr>
        <w:t>Rho Chi Chapter Annual Report Template and Example.</w:t>
      </w:r>
    </w:p>
    <w:p w:rsidR="00EB41EB" w:rsidRDefault="00DA48D2">
      <w:pPr>
        <w:pStyle w:val="Normal1"/>
        <w:jc w:val="center"/>
      </w:pPr>
      <w:r>
        <w:rPr>
          <w:sz w:val="20"/>
        </w:rPr>
        <w:t xml:space="preserve"> </w:t>
      </w:r>
    </w:p>
    <w:tbl>
      <w:tblPr>
        <w:tblStyle w:val="a1"/>
        <w:tblW w:w="13185" w:type="dxa"/>
        <w:tblBorders>
          <w:top w:val="nil"/>
          <w:left w:val="nil"/>
          <w:bottom w:val="nil"/>
          <w:right w:val="nil"/>
          <w:insideH w:val="nil"/>
          <w:insideV w:val="nil"/>
        </w:tblBorders>
        <w:tblLayout w:type="fixed"/>
        <w:tblLook w:val="0600" w:firstRow="0" w:lastRow="0" w:firstColumn="0" w:lastColumn="0" w:noHBand="1" w:noVBand="1"/>
      </w:tblPr>
      <w:tblGrid>
        <w:gridCol w:w="4500"/>
        <w:gridCol w:w="1725"/>
        <w:gridCol w:w="1665"/>
        <w:gridCol w:w="1515"/>
        <w:gridCol w:w="3780"/>
      </w:tblGrid>
      <w:tr w:rsidR="00EB41EB">
        <w:tc>
          <w:tcPr>
            <w:tcW w:w="4500" w:type="dxa"/>
            <w:tcBorders>
              <w:top w:val="single" w:sz="8" w:space="0" w:color="000000"/>
              <w:left w:val="single" w:sz="8" w:space="0" w:color="000000"/>
              <w:bottom w:val="single" w:sz="8" w:space="0" w:color="000000"/>
              <w:right w:val="nil"/>
            </w:tcBorders>
            <w:shd w:val="clear" w:color="auto" w:fill="5B9BD5"/>
            <w:tcMar>
              <w:top w:w="100" w:type="dxa"/>
              <w:left w:w="100" w:type="dxa"/>
              <w:bottom w:w="100" w:type="dxa"/>
              <w:right w:w="100" w:type="dxa"/>
            </w:tcMar>
            <w:vAlign w:val="bottom"/>
          </w:tcPr>
          <w:p w:rsidR="00EB41EB" w:rsidRDefault="00DA48D2">
            <w:pPr>
              <w:pStyle w:val="Normal1"/>
              <w:ind w:left="100"/>
              <w:jc w:val="center"/>
            </w:pPr>
            <w:r>
              <w:rPr>
                <w:b/>
                <w:color w:val="FFFFFF"/>
                <w:shd w:val="clear" w:color="auto" w:fill="5B9BD5"/>
              </w:rPr>
              <w:t>ITEM</w:t>
            </w:r>
          </w:p>
        </w:tc>
        <w:tc>
          <w:tcPr>
            <w:tcW w:w="1725" w:type="dxa"/>
            <w:tcBorders>
              <w:top w:val="single" w:sz="8" w:space="0" w:color="5B9BD5"/>
              <w:left w:val="nil"/>
            </w:tcBorders>
            <w:shd w:val="clear" w:color="auto" w:fill="5B9BD5"/>
            <w:tcMar>
              <w:top w:w="100" w:type="dxa"/>
              <w:left w:w="100" w:type="dxa"/>
              <w:bottom w:w="100" w:type="dxa"/>
              <w:right w:w="100" w:type="dxa"/>
            </w:tcMar>
            <w:vAlign w:val="bottom"/>
          </w:tcPr>
          <w:p w:rsidR="00EB41EB" w:rsidRDefault="00DA48D2">
            <w:pPr>
              <w:pStyle w:val="Normal1"/>
              <w:ind w:left="100"/>
              <w:jc w:val="center"/>
            </w:pPr>
            <w:r>
              <w:rPr>
                <w:b/>
                <w:color w:val="FFFFFF"/>
                <w:shd w:val="clear" w:color="auto" w:fill="5B9BD5"/>
              </w:rPr>
              <w:t xml:space="preserve">Amount Debited    </w:t>
            </w:r>
            <w:r>
              <w:rPr>
                <w:b/>
                <w:color w:val="FFFFFF"/>
                <w:shd w:val="clear" w:color="auto" w:fill="5B9BD5"/>
              </w:rPr>
              <w:tab/>
              <w:t>($$ spent)</w:t>
            </w:r>
          </w:p>
        </w:tc>
        <w:tc>
          <w:tcPr>
            <w:tcW w:w="1665" w:type="dxa"/>
            <w:tcBorders>
              <w:top w:val="single" w:sz="8" w:space="0" w:color="5B9BD5"/>
            </w:tcBorders>
            <w:shd w:val="clear" w:color="auto" w:fill="5B9BD5"/>
            <w:tcMar>
              <w:top w:w="100" w:type="dxa"/>
              <w:left w:w="100" w:type="dxa"/>
              <w:bottom w:w="100" w:type="dxa"/>
              <w:right w:w="100" w:type="dxa"/>
            </w:tcMar>
            <w:vAlign w:val="bottom"/>
          </w:tcPr>
          <w:p w:rsidR="00EB41EB" w:rsidRDefault="00DA48D2">
            <w:pPr>
              <w:pStyle w:val="Normal1"/>
              <w:ind w:left="100"/>
              <w:jc w:val="center"/>
            </w:pPr>
            <w:r>
              <w:rPr>
                <w:b/>
                <w:color w:val="FFFFFF"/>
                <w:shd w:val="clear" w:color="auto" w:fill="5B9BD5"/>
              </w:rPr>
              <w:t xml:space="preserve">Amount Credited  </w:t>
            </w:r>
            <w:r>
              <w:rPr>
                <w:b/>
                <w:color w:val="FFFFFF"/>
                <w:shd w:val="clear" w:color="auto" w:fill="5B9BD5"/>
              </w:rPr>
              <w:tab/>
              <w:t>($$ raised)</w:t>
            </w:r>
          </w:p>
        </w:tc>
        <w:tc>
          <w:tcPr>
            <w:tcW w:w="1515" w:type="dxa"/>
            <w:tcBorders>
              <w:top w:val="single" w:sz="8" w:space="0" w:color="5B9BD5"/>
            </w:tcBorders>
            <w:shd w:val="clear" w:color="auto" w:fill="5B9BD5"/>
            <w:tcMar>
              <w:top w:w="100" w:type="dxa"/>
              <w:left w:w="100" w:type="dxa"/>
              <w:bottom w:w="100" w:type="dxa"/>
              <w:right w:w="100" w:type="dxa"/>
            </w:tcMar>
            <w:vAlign w:val="bottom"/>
          </w:tcPr>
          <w:p w:rsidR="00EB41EB" w:rsidRDefault="00DA48D2">
            <w:pPr>
              <w:pStyle w:val="Normal1"/>
              <w:ind w:left="100"/>
              <w:jc w:val="center"/>
            </w:pPr>
            <w:r>
              <w:rPr>
                <w:b/>
                <w:color w:val="FFFFFF"/>
                <w:shd w:val="clear" w:color="auto" w:fill="5B9BD5"/>
              </w:rPr>
              <w:t>Balance</w:t>
            </w:r>
          </w:p>
        </w:tc>
        <w:tc>
          <w:tcPr>
            <w:tcW w:w="3780" w:type="dxa"/>
            <w:tcBorders>
              <w:top w:val="single" w:sz="8" w:space="0" w:color="5B9BD5"/>
              <w:right w:val="single" w:sz="8" w:space="0" w:color="5B9BD5"/>
            </w:tcBorders>
            <w:shd w:val="clear" w:color="auto" w:fill="5B9BD5"/>
            <w:tcMar>
              <w:top w:w="100" w:type="dxa"/>
              <w:left w:w="100" w:type="dxa"/>
              <w:bottom w:w="100" w:type="dxa"/>
              <w:right w:w="100" w:type="dxa"/>
            </w:tcMar>
            <w:vAlign w:val="bottom"/>
          </w:tcPr>
          <w:p w:rsidR="00EB41EB" w:rsidRDefault="00DA48D2">
            <w:pPr>
              <w:pStyle w:val="Normal1"/>
              <w:ind w:left="100"/>
              <w:jc w:val="center"/>
            </w:pPr>
            <w:r>
              <w:rPr>
                <w:b/>
                <w:color w:val="FFFFFF"/>
                <w:shd w:val="clear" w:color="auto" w:fill="5B9BD5"/>
              </w:rPr>
              <w:t>Comment</w:t>
            </w: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DA48D2">
            <w:pPr>
              <w:pStyle w:val="Normal1"/>
            </w:pPr>
            <w:r>
              <w:rPr>
                <w:b/>
              </w:rPr>
              <w:t>Balance forward</w:t>
            </w: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DA48D2">
            <w:pPr>
              <w:pStyle w:val="Normal1"/>
              <w:ind w:left="100"/>
            </w:pPr>
            <w:r>
              <w:rPr>
                <w:b/>
              </w:rPr>
              <w:t>$1,921.64</w:t>
            </w:r>
          </w:p>
        </w:tc>
        <w:tc>
          <w:tcPr>
            <w:tcW w:w="1515" w:type="dxa"/>
            <w:tcBorders>
              <w:top w:val="single" w:sz="8" w:space="0" w:color="5B9BD5"/>
            </w:tcBorders>
            <w:tcMar>
              <w:top w:w="100" w:type="dxa"/>
              <w:left w:w="100" w:type="dxa"/>
              <w:bottom w:w="100" w:type="dxa"/>
              <w:right w:w="100" w:type="dxa"/>
            </w:tcMar>
            <w:vAlign w:val="bottom"/>
          </w:tcPr>
          <w:p w:rsidR="00EB41EB" w:rsidRDefault="00DA48D2">
            <w:pPr>
              <w:pStyle w:val="Normal1"/>
              <w:ind w:left="100"/>
              <w:jc w:val="center"/>
            </w:pPr>
            <w:r>
              <w:rPr>
                <w:b/>
              </w:rPr>
              <w:t>$1,921.63</w:t>
            </w: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DA48D2">
            <w:pPr>
              <w:pStyle w:val="Normal1"/>
            </w:pPr>
            <w:r>
              <w:rPr>
                <w:b/>
              </w:rPr>
              <w:t xml:space="preserve"> Balance as of January 31, 2015</w:t>
            </w: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DA48D2">
            <w:pPr>
              <w:pStyle w:val="Normal1"/>
            </w:pPr>
            <w:r>
              <w:rPr>
                <w:b/>
              </w:rPr>
              <w:t xml:space="preserve">Sent delegate to </w:t>
            </w:r>
            <w:proofErr w:type="spellStart"/>
            <w:r>
              <w:rPr>
                <w:b/>
              </w:rPr>
              <w:t>APhA</w:t>
            </w:r>
            <w:proofErr w:type="spellEnd"/>
            <w:r>
              <w:rPr>
                <w:b/>
              </w:rPr>
              <w:t xml:space="preserve"> annual</w:t>
            </w:r>
          </w:p>
        </w:tc>
        <w:tc>
          <w:tcPr>
            <w:tcW w:w="1725" w:type="dxa"/>
            <w:tcBorders>
              <w:top w:val="single" w:sz="8" w:space="0" w:color="5B9BD5"/>
            </w:tcBorders>
            <w:tcMar>
              <w:top w:w="100" w:type="dxa"/>
              <w:left w:w="100" w:type="dxa"/>
              <w:bottom w:w="100" w:type="dxa"/>
              <w:right w:w="100" w:type="dxa"/>
            </w:tcMar>
            <w:vAlign w:val="bottom"/>
          </w:tcPr>
          <w:p w:rsidR="00EB41EB" w:rsidRDefault="00DA48D2">
            <w:pPr>
              <w:pStyle w:val="Normal1"/>
            </w:pPr>
            <w:r>
              <w:rPr>
                <w:b/>
              </w:rPr>
              <w:t xml:space="preserve">  $235.00</w:t>
            </w: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jc w:val="right"/>
            </w:pP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jc w:val="right"/>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EB41EB">
            <w:pPr>
              <w:pStyle w:val="Normal1"/>
              <w:ind w:left="100"/>
            </w:pP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DA48D2">
            <w:pPr>
              <w:pStyle w:val="Normal1"/>
            </w:pPr>
            <w:r>
              <w:rPr>
                <w:b/>
              </w:rPr>
              <w:t>Honor Cords</w:t>
            </w:r>
          </w:p>
        </w:tc>
        <w:tc>
          <w:tcPr>
            <w:tcW w:w="1725" w:type="dxa"/>
            <w:tcBorders>
              <w:top w:val="single" w:sz="8" w:space="0" w:color="5B9BD5"/>
            </w:tcBorders>
            <w:tcMar>
              <w:top w:w="100" w:type="dxa"/>
              <w:left w:w="100" w:type="dxa"/>
              <w:bottom w:w="100" w:type="dxa"/>
              <w:right w:w="100" w:type="dxa"/>
            </w:tcMar>
            <w:vAlign w:val="bottom"/>
          </w:tcPr>
          <w:p w:rsidR="00EB41EB" w:rsidRDefault="00DA48D2">
            <w:pPr>
              <w:pStyle w:val="Normal1"/>
              <w:ind w:left="100"/>
            </w:pPr>
            <w:r>
              <w:rPr>
                <w:b/>
              </w:rPr>
              <w:t>$625.00</w:t>
            </w: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jc w:val="right"/>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DA48D2">
            <w:pPr>
              <w:pStyle w:val="Normal1"/>
            </w:pPr>
            <w:r>
              <w:rPr>
                <w:b/>
              </w:rPr>
              <w:t xml:space="preserve"> Bought 50 cords</w:t>
            </w: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DA48D2">
            <w:pPr>
              <w:pStyle w:val="Normal1"/>
            </w:pPr>
            <w:r>
              <w:rPr>
                <w:b/>
              </w:rPr>
              <w:t>Deposit-Columbia campus</w:t>
            </w: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DA48D2">
            <w:pPr>
              <w:pStyle w:val="Normal1"/>
              <w:ind w:left="100"/>
            </w:pPr>
            <w:r>
              <w:rPr>
                <w:b/>
              </w:rPr>
              <w:t>$65.00</w:t>
            </w: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EB41EB">
            <w:pPr>
              <w:pStyle w:val="Normal1"/>
              <w:ind w:left="100"/>
            </w:pP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DA48D2">
            <w:pPr>
              <w:pStyle w:val="Normal1"/>
            </w:pPr>
            <w:r>
              <w:rPr>
                <w:b/>
              </w:rPr>
              <w:t>White Coat Sales</w:t>
            </w: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DA48D2">
            <w:pPr>
              <w:pStyle w:val="Normal1"/>
              <w:ind w:left="100"/>
            </w:pPr>
            <w:r>
              <w:rPr>
                <w:b/>
              </w:rPr>
              <w:t>$530.00</w:t>
            </w: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DA48D2">
            <w:pPr>
              <w:pStyle w:val="Normal1"/>
            </w:pPr>
            <w:r>
              <w:rPr>
                <w:b/>
              </w:rPr>
              <w:t xml:space="preserve"> Sold 53 coats</w:t>
            </w: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515" w:type="dxa"/>
            <w:tcBorders>
              <w:top w:val="single" w:sz="8" w:space="0" w:color="5B9BD5"/>
            </w:tcBorders>
            <w:tcMar>
              <w:top w:w="100" w:type="dxa"/>
              <w:left w:w="100" w:type="dxa"/>
              <w:bottom w:w="100" w:type="dxa"/>
              <w:right w:w="100" w:type="dxa"/>
            </w:tcMar>
            <w:vAlign w:val="bottom"/>
          </w:tcPr>
          <w:p w:rsidR="00EB41EB" w:rsidRDefault="00DA48D2">
            <w:pPr>
              <w:pStyle w:val="Normal1"/>
              <w:ind w:left="100"/>
            </w:pPr>
            <w:r>
              <w:rPr>
                <w:b/>
              </w:rPr>
              <w:t>$1656.63</w:t>
            </w: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DA48D2">
            <w:pPr>
              <w:pStyle w:val="Normal1"/>
            </w:pPr>
            <w:r>
              <w:rPr>
                <w:b/>
              </w:rPr>
              <w:t xml:space="preserve"> Balance as of April 25, 2015</w:t>
            </w: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EB41EB">
            <w:pPr>
              <w:pStyle w:val="Normal1"/>
              <w:ind w:left="100"/>
            </w:pP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EB41EB">
            <w:pPr>
              <w:pStyle w:val="Normal1"/>
              <w:ind w:left="100"/>
            </w:pP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EB41EB">
            <w:pPr>
              <w:pStyle w:val="Normal1"/>
              <w:ind w:left="100"/>
            </w:pPr>
          </w:p>
        </w:tc>
      </w:tr>
      <w:tr w:rsidR="00EB41EB">
        <w:tc>
          <w:tcPr>
            <w:tcW w:w="4500" w:type="dxa"/>
            <w:tcBorders>
              <w:top w:val="single" w:sz="8" w:space="0" w:color="5B9BD5"/>
              <w:left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72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66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1515" w:type="dxa"/>
            <w:tcBorders>
              <w:top w:val="single" w:sz="8" w:space="0" w:color="5B9BD5"/>
            </w:tcBorders>
            <w:tcMar>
              <w:top w:w="100" w:type="dxa"/>
              <w:left w:w="100" w:type="dxa"/>
              <w:bottom w:w="100" w:type="dxa"/>
              <w:right w:w="100" w:type="dxa"/>
            </w:tcMar>
            <w:vAlign w:val="bottom"/>
          </w:tcPr>
          <w:p w:rsidR="00EB41EB" w:rsidRDefault="00EB41EB">
            <w:pPr>
              <w:pStyle w:val="Normal1"/>
              <w:ind w:left="100"/>
            </w:pPr>
          </w:p>
        </w:tc>
        <w:tc>
          <w:tcPr>
            <w:tcW w:w="3780" w:type="dxa"/>
            <w:tcBorders>
              <w:top w:val="single" w:sz="8" w:space="0" w:color="5B9BD5"/>
              <w:right w:val="single" w:sz="8" w:space="0" w:color="5B9BD5"/>
            </w:tcBorders>
            <w:tcMar>
              <w:top w:w="100" w:type="dxa"/>
              <w:left w:w="100" w:type="dxa"/>
              <w:bottom w:w="100" w:type="dxa"/>
              <w:right w:w="100" w:type="dxa"/>
            </w:tcMar>
            <w:vAlign w:val="bottom"/>
          </w:tcPr>
          <w:p w:rsidR="00EB41EB" w:rsidRDefault="00EB41EB">
            <w:pPr>
              <w:pStyle w:val="Normal1"/>
              <w:ind w:left="100"/>
            </w:pPr>
          </w:p>
        </w:tc>
      </w:tr>
    </w:tbl>
    <w:p w:rsidR="00EB41EB" w:rsidRDefault="00EB41EB">
      <w:pPr>
        <w:pStyle w:val="Normal1"/>
      </w:pPr>
    </w:p>
    <w:p w:rsidR="00EB41EB" w:rsidRDefault="00DA48D2">
      <w:pPr>
        <w:pStyle w:val="Normal1"/>
      </w:pPr>
      <w:r>
        <w:rPr>
          <w:rFonts w:ascii="Times New Roman" w:eastAsia="Times New Roman" w:hAnsi="Times New Roman" w:cs="Times New Roman"/>
          <w:sz w:val="24"/>
        </w:rPr>
        <w:t>Name of School/College: South University School of Pharmacy</w:t>
      </w:r>
    </w:p>
    <w:p w:rsidR="00EB41EB" w:rsidRDefault="00DA48D2">
      <w:pPr>
        <w:pStyle w:val="Normal1"/>
      </w:pPr>
      <w:r>
        <w:rPr>
          <w:rFonts w:ascii="Times New Roman" w:eastAsia="Times New Roman" w:hAnsi="Times New Roman" w:cs="Times New Roman"/>
          <w:sz w:val="24"/>
        </w:rPr>
        <w:t>Chapter name and region: Gamma Upsilon – Region III Southeastern</w:t>
      </w:r>
    </w:p>
    <w:p w:rsidR="00EB41EB" w:rsidRDefault="00DA48D2">
      <w:pPr>
        <w:pStyle w:val="Normal1"/>
      </w:pPr>
      <w:r>
        <w:rPr>
          <w:rFonts w:ascii="Times New Roman" w:eastAsia="Times New Roman" w:hAnsi="Times New Roman" w:cs="Times New Roman"/>
          <w:sz w:val="24"/>
        </w:rPr>
        <w:t>Name of Chapter Advisor: Dr. Arthur Cox</w:t>
      </w:r>
    </w:p>
    <w:sectPr w:rsidR="00EB41EB">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8C3"/>
    <w:multiLevelType w:val="multilevel"/>
    <w:tmpl w:val="7E96A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DBF24B1"/>
    <w:multiLevelType w:val="multilevel"/>
    <w:tmpl w:val="98766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EB"/>
    <w:rsid w:val="004908F0"/>
    <w:rsid w:val="00DA48D2"/>
    <w:rsid w:val="00EB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F377F8-F50D-437D-B906-E511B268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aga@southuniversity.edu" TargetMode="External"/><Relationship Id="rId5" Type="http://schemas.openxmlformats.org/officeDocument/2006/relationships/hyperlink" Target="mailto:acox@south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2015-06-11T19:32:00Z</dcterms:created>
  <dcterms:modified xsi:type="dcterms:W3CDTF">2015-06-11T19:32:00Z</dcterms:modified>
</cp:coreProperties>
</file>